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val="en-US" w:eastAsia="zh-CN"/>
        </w:rPr>
      </w:pPr>
      <w:r>
        <w:rPr>
          <w:rFonts w:hint="eastAsia" w:ascii="方正小标宋简体" w:hAnsi="华文仿宋" w:eastAsia="方正小标宋简体"/>
          <w:sz w:val="44"/>
          <w:szCs w:val="44"/>
          <w:lang w:val="en-US" w:eastAsia="zh-CN"/>
        </w:rPr>
        <w:t>360035柳州市马鞍山幼儿园</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lang w:val="en-US" w:eastAsia="zh-CN"/>
        </w:rPr>
        <w:t>2023年单位</w:t>
      </w: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柳州市马鞍山幼儿园</w:t>
      </w:r>
      <w:r>
        <w:rPr>
          <w:rFonts w:hint="eastAsia" w:ascii="仿宋_GB2312" w:hAnsi="华文仿宋" w:eastAsia="仿宋_GB2312"/>
          <w:b/>
          <w:bCs/>
          <w:color w:val="000000"/>
          <w:sz w:val="32"/>
          <w:szCs w:val="32"/>
        </w:rPr>
        <w:t>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lang w:val="en-US" w:eastAsia="zh-CN"/>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eastAsia="zh-CN"/>
        </w:rPr>
        <w:t>柳州市马鞍山幼儿园</w:t>
      </w:r>
      <w:r>
        <w:rPr>
          <w:rFonts w:hint="eastAsia" w:ascii="仿宋_GB2312" w:hAnsi="华文仿宋" w:eastAsia="仿宋_GB2312"/>
          <w:b/>
          <w:bCs/>
          <w:color w:val="000000"/>
          <w:sz w:val="32"/>
          <w:szCs w:val="32"/>
          <w:lang w:val="en-US" w:eastAsia="zh-CN"/>
        </w:rPr>
        <w:t>2023年预算情况说明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lang w:val="en-US" w:eastAsia="zh-CN"/>
        </w:rPr>
        <w:t>第三部分：柳州市马鞍山幼儿园</w:t>
      </w:r>
      <w:r>
        <w:rPr>
          <w:rFonts w:hint="eastAsia" w:ascii="仿宋_GB2312" w:hAnsi="华文仿宋" w:eastAsia="仿宋_GB2312"/>
          <w:b/>
          <w:bCs/>
          <w:color w:val="000000"/>
          <w:sz w:val="32"/>
          <w:szCs w:val="32"/>
          <w:lang w:eastAsia="zh-CN"/>
        </w:rPr>
        <w:t>202</w:t>
      </w:r>
      <w:r>
        <w:rPr>
          <w:rFonts w:hint="eastAsia" w:ascii="仿宋_GB2312" w:hAnsi="华文仿宋" w:eastAsia="仿宋_GB2312"/>
          <w:b/>
          <w:bCs/>
          <w:color w:val="000000"/>
          <w:sz w:val="32"/>
          <w:szCs w:val="32"/>
          <w:lang w:val="en-US" w:eastAsia="zh-CN"/>
        </w:rPr>
        <w:t>3</w:t>
      </w:r>
      <w:r>
        <w:rPr>
          <w:rFonts w:hint="eastAsia" w:ascii="仿宋_GB2312" w:hAnsi="华文仿宋" w:eastAsia="仿宋_GB2312"/>
          <w:b/>
          <w:bCs/>
          <w:color w:val="000000"/>
          <w:sz w:val="32"/>
          <w:szCs w:val="32"/>
        </w:rPr>
        <w:t>年预算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rStyle w:val="6"/>
          <w:rFonts w:hint="eastAsia" w:ascii="仿宋_GB2312" w:hAnsi="华文仿宋" w:eastAsia="仿宋_GB2312"/>
          <w:color w:val="000000"/>
          <w:sz w:val="32"/>
          <w:szCs w:val="32"/>
          <w:highlight w:val="yellow"/>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yellow"/>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yellow"/>
        </w:rPr>
      </w:pPr>
      <w:r>
        <w:rPr>
          <w:rFonts w:hint="eastAsia" w:ascii="仿宋_GB2312" w:hAnsi="华文仿宋" w:eastAsia="仿宋_GB2312"/>
          <w:b/>
          <w:bCs/>
          <w:color w:val="000000"/>
          <w:sz w:val="32"/>
          <w:szCs w:val="32"/>
          <w:lang w:val="en-US" w:eastAsia="zh-CN"/>
        </w:rPr>
        <w:t>第一部分：柳州市马鞍山幼儿园概况</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default" w:ascii="楷体_GB2312" w:hAnsi="华文仿宋" w:eastAsia="楷体_GB2312" w:cs="宋体"/>
          <w:b/>
          <w:bCs w:val="0"/>
          <w:color w:val="000000"/>
          <w:kern w:val="0"/>
          <w:sz w:val="32"/>
          <w:szCs w:val="32"/>
          <w:lang w:val="en-US" w:eastAsia="zh-CN" w:bidi="ar-SA"/>
        </w:rPr>
      </w:pPr>
      <w:r>
        <w:rPr>
          <w:rFonts w:hint="eastAsia" w:ascii="仿宋_GB2312" w:hAnsi="华文仿宋" w:eastAsia="仿宋_GB2312"/>
          <w:color w:val="auto"/>
          <w:sz w:val="32"/>
          <w:szCs w:val="32"/>
          <w:highlight w:val="none"/>
          <w:lang w:val="en-US" w:eastAsia="zh-CN"/>
        </w:rPr>
        <w:t>1、</w:t>
      </w:r>
      <w:r>
        <w:rPr>
          <w:rFonts w:hint="eastAsia" w:ascii="仿宋_GB2312" w:hAnsi="华文仿宋" w:eastAsia="仿宋_GB2312"/>
          <w:color w:val="auto"/>
          <w:sz w:val="32"/>
          <w:szCs w:val="32"/>
          <w:highlight w:val="none"/>
          <w:lang w:eastAsia="zh-CN"/>
        </w:rPr>
        <w:t>认真贯彻中华人民共和国教育法、幼儿园管理条例、幼儿园教育指导纲要和幼儿园对入园工作规程，规范幼儿园各项工作，对学龄前儿童实施保育教育工作；</w:t>
      </w:r>
      <w:r>
        <w:rPr>
          <w:rFonts w:hint="eastAsia" w:ascii="仿宋_GB2312" w:hAnsi="华文仿宋" w:eastAsia="仿宋_GB2312"/>
          <w:color w:val="auto"/>
          <w:sz w:val="32"/>
          <w:szCs w:val="32"/>
          <w:highlight w:val="none"/>
          <w:lang w:val="en-US" w:eastAsia="zh-CN"/>
        </w:rPr>
        <w:t>2、与家庭、社区密切合作，与小学互相衔接，综合利用各种教育资源，共同为幼儿的发展创造良好的条件；3、从实际出发，实施素质教育，为幼儿发展打下好基础。</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color w:val="auto"/>
          <w:sz w:val="32"/>
          <w:szCs w:val="32"/>
          <w:highlight w:val="none"/>
          <w:lang w:eastAsia="zh-CN"/>
        </w:rPr>
      </w:pPr>
      <w:r>
        <w:rPr>
          <w:rFonts w:hint="eastAsia" w:ascii="仿宋_GB2312" w:hAnsi="华文仿宋" w:eastAsia="仿宋_GB2312"/>
          <w:color w:val="auto"/>
          <w:sz w:val="32"/>
          <w:szCs w:val="32"/>
          <w:highlight w:val="none"/>
          <w:lang w:eastAsia="zh-CN"/>
        </w:rPr>
        <w:t>柳州市马鞍山幼儿园为鱼峰区教育局主办的公益二类全额拨款事业单位。</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default" w:ascii="仿宋_GB2312" w:hAnsi="华文仿宋" w:eastAsia="仿宋_GB2312"/>
          <w:color w:val="auto"/>
          <w:sz w:val="32"/>
          <w:szCs w:val="32"/>
          <w:highlight w:val="none"/>
          <w:lang w:val="en-US" w:eastAsia="zh-CN"/>
        </w:rPr>
      </w:pPr>
      <w:r>
        <w:rPr>
          <w:rFonts w:hint="default" w:ascii="仿宋_GB2312" w:hAnsi="华文仿宋" w:eastAsia="仿宋_GB2312"/>
          <w:color w:val="auto"/>
          <w:sz w:val="32"/>
          <w:szCs w:val="32"/>
          <w:highlight w:val="none"/>
          <w:lang w:val="en-US" w:eastAsia="zh-CN"/>
        </w:rPr>
        <w:t>机构设置教职工编制</w:t>
      </w:r>
      <w:r>
        <w:rPr>
          <w:rFonts w:hint="eastAsia" w:ascii="仿宋_GB2312" w:hAnsi="华文仿宋" w:eastAsia="仿宋_GB2312"/>
          <w:color w:val="auto"/>
          <w:sz w:val="32"/>
          <w:szCs w:val="32"/>
          <w:highlight w:val="none"/>
          <w:lang w:val="en-US" w:eastAsia="zh-CN"/>
        </w:rPr>
        <w:t>，实有人数50人，其中事业编制4人，聘用人员44人，保安2人。</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lang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b/>
          <w:bCs/>
          <w:color w:val="000000"/>
          <w:sz w:val="32"/>
          <w:szCs w:val="32"/>
          <w:lang w:eastAsia="zh-CN"/>
        </w:rPr>
        <w:t>第二部分：柳州市马鞍山幼儿园</w:t>
      </w:r>
      <w:r>
        <w:rPr>
          <w:rFonts w:hint="eastAsia" w:ascii="仿宋_GB2312" w:hAnsi="华文仿宋" w:eastAsia="仿宋_GB2312"/>
          <w:b/>
          <w:bCs/>
          <w:color w:val="000000"/>
          <w:sz w:val="32"/>
          <w:szCs w:val="32"/>
          <w:lang w:val="en-US" w:eastAsia="zh-CN"/>
        </w:rPr>
        <w:t>2022年预算情况说明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一、单位收支预算情况说明</w:t>
      </w:r>
    </w:p>
    <w:p>
      <w:pPr>
        <w:pStyle w:val="3"/>
        <w:keepNext w:val="0"/>
        <w:keepLines w:val="0"/>
        <w:pageBreakBefore w:val="0"/>
        <w:kinsoku/>
        <w:wordWrap/>
        <w:overflowPunct/>
        <w:topLinePunct w:val="0"/>
        <w:autoSpaceDE/>
        <w:autoSpaceDN/>
        <w:bidi w:val="0"/>
        <w:spacing w:before="0" w:beforeAutospacing="0" w:after="0" w:afterAutospacing="0" w:line="240" w:lineRule="auto"/>
        <w:ind w:firstLine="640" w:firstLineChars="200"/>
        <w:jc w:val="left"/>
        <w:textAlignment w:val="auto"/>
        <w:outlineLvl w:val="9"/>
        <w:rPr>
          <w:rFonts w:hint="eastAsia" w:ascii="仿宋_GB2312" w:hAnsi="华文仿宋" w:eastAsia="仿宋_GB2312" w:cs="Times New Roman"/>
          <w:b w:val="0"/>
          <w:bCs w:val="0"/>
          <w:strike/>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2023年单位收支总预算351.03万元，同比增加41.35万元，同比增长13.35%，收入包括：一般公共预算财政拨款351.03万元;支出包括：一般公共服务支出0.83万元，教育支出334.90万元，科学技术支出0.40万元，社会保障和就业支出9.94万元，住房保障支出4.97万元。</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二、单位收入预算情况说明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trike w:val="0"/>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3</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收入总预算</w:t>
      </w:r>
      <w:r>
        <w:rPr>
          <w:rFonts w:hint="eastAsia" w:ascii="仿宋_GB2312" w:hAnsi="华文仿宋" w:eastAsia="仿宋_GB2312"/>
          <w:color w:val="000000"/>
          <w:sz w:val="32"/>
          <w:szCs w:val="32"/>
          <w:lang w:val="en-US" w:eastAsia="zh-CN"/>
        </w:rPr>
        <w:t>351.03</w:t>
      </w:r>
      <w:r>
        <w:rPr>
          <w:rFonts w:hint="eastAsia" w:ascii="仿宋_GB2312" w:hAnsi="华文仿宋" w:eastAsia="仿宋_GB2312"/>
          <w:color w:val="000000"/>
          <w:sz w:val="32"/>
          <w:szCs w:val="32"/>
        </w:rPr>
        <w:t>万元，</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41.35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13.35</w:t>
      </w:r>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rPr>
      </w:pP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color w:val="000000"/>
          <w:sz w:val="32"/>
          <w:szCs w:val="32"/>
          <w:lang w:val="en-US" w:eastAsia="zh-CN"/>
        </w:rPr>
        <w:t>351.03</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r>
        <w:rPr>
          <w:rFonts w:hint="eastAsia" w:ascii="仿宋_GB2312" w:hAnsi="华文仿宋" w:eastAsia="仿宋_GB2312"/>
          <w:color w:val="auto"/>
          <w:sz w:val="32"/>
          <w:szCs w:val="32"/>
          <w:lang w:val="en-US" w:eastAsia="zh-CN"/>
        </w:rPr>
        <w:t>100%,</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41.35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13.35</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2023年收入预算总体增加主要是在职在编人员预算增加，增加的主要原因：2022年在职在编人员只有2名人员的支出预算，2023年增加到了4名在职在编人员的支出预算。</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三、单位支出预算情况说明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cs="宋体"/>
          <w:strike/>
          <w:sz w:val="32"/>
          <w:szCs w:val="32"/>
          <w:lang w:val="en-US" w:eastAsia="zh-CN"/>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3</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支出总预算</w:t>
      </w:r>
      <w:r>
        <w:rPr>
          <w:rFonts w:hint="eastAsia" w:ascii="仿宋_GB2312" w:hAnsi="华文仿宋" w:eastAsia="仿宋_GB2312"/>
          <w:color w:val="000000"/>
          <w:sz w:val="32"/>
          <w:szCs w:val="32"/>
          <w:lang w:val="en-US" w:eastAsia="zh-CN"/>
        </w:rPr>
        <w:t>351.03</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63.03万元，占支出总预算的17.96%,</w:t>
      </w:r>
      <w:r>
        <w:rPr>
          <w:rFonts w:hint="eastAsia" w:ascii="仿宋_GB2312" w:hAnsi="华文仿宋" w:eastAsia="仿宋_GB2312"/>
          <w:sz w:val="32"/>
          <w:szCs w:val="32"/>
        </w:rPr>
        <w:t>同比</w:t>
      </w:r>
      <w:r>
        <w:rPr>
          <w:rFonts w:hint="eastAsia" w:ascii="仿宋_GB2312" w:hAnsi="华文仿宋" w:eastAsia="仿宋_GB2312"/>
          <w:sz w:val="32"/>
          <w:szCs w:val="32"/>
          <w:lang w:eastAsia="zh-CN"/>
        </w:rPr>
        <w:t>增加</w:t>
      </w:r>
      <w:r>
        <w:rPr>
          <w:rFonts w:hint="eastAsia" w:ascii="仿宋_GB2312" w:hAnsi="华文仿宋" w:eastAsia="仿宋_GB2312"/>
          <w:sz w:val="32"/>
          <w:szCs w:val="32"/>
          <w:lang w:val="en-US" w:eastAsia="zh-CN"/>
        </w:rPr>
        <w:t>41.35</w:t>
      </w:r>
      <w:r>
        <w:rPr>
          <w:rFonts w:hint="eastAsia" w:ascii="仿宋_GB2312" w:hAnsi="华文仿宋" w:eastAsia="仿宋_GB2312"/>
          <w:sz w:val="32"/>
          <w:szCs w:val="32"/>
        </w:rPr>
        <w:t>万元，同比</w:t>
      </w:r>
      <w:r>
        <w:rPr>
          <w:rFonts w:hint="eastAsia" w:ascii="仿宋_GB2312" w:hAnsi="华文仿宋" w:eastAsia="仿宋_GB2312"/>
          <w:sz w:val="32"/>
          <w:szCs w:val="32"/>
          <w:lang w:eastAsia="zh-CN"/>
        </w:rPr>
        <w:t>增加</w:t>
      </w:r>
      <w:r>
        <w:rPr>
          <w:rFonts w:hint="eastAsia" w:ascii="仿宋_GB2312" w:hAnsi="华文仿宋" w:eastAsia="仿宋_GB2312"/>
          <w:sz w:val="32"/>
          <w:szCs w:val="32"/>
          <w:lang w:val="en-US" w:eastAsia="zh-CN"/>
        </w:rPr>
        <w:t>190.73</w:t>
      </w:r>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288万元，占支出总预算的82.04%,</w:t>
      </w:r>
      <w:r>
        <w:rPr>
          <w:rFonts w:hint="eastAsia" w:ascii="仿宋_GB2312" w:hAnsi="华文仿宋" w:eastAsia="仿宋_GB2312"/>
          <w:sz w:val="32"/>
          <w:szCs w:val="32"/>
        </w:rPr>
        <w:t>同比</w:t>
      </w:r>
      <w:r>
        <w:rPr>
          <w:rFonts w:hint="eastAsia" w:ascii="仿宋_GB2312" w:hAnsi="华文仿宋" w:eastAsia="仿宋_GB2312"/>
          <w:sz w:val="32"/>
          <w:szCs w:val="32"/>
          <w:lang w:eastAsia="zh-CN"/>
        </w:rPr>
        <w:t>无</w:t>
      </w:r>
      <w:r>
        <w:rPr>
          <w:rFonts w:hint="eastAsia" w:ascii="仿宋_GB2312" w:hAnsi="华文仿宋" w:eastAsia="仿宋_GB2312"/>
          <w:sz w:val="32"/>
          <w:szCs w:val="32"/>
        </w:rPr>
        <w:t>增加。</w:t>
      </w:r>
      <w:r>
        <w:rPr>
          <w:rFonts w:hint="eastAsia" w:ascii="仿宋_GB2312" w:hAnsi="华文仿宋" w:eastAsia="仿宋_GB2312"/>
          <w:sz w:val="32"/>
          <w:szCs w:val="32"/>
          <w:lang w:eastAsia="zh-CN"/>
        </w:rPr>
        <w:t>原因是：</w:t>
      </w:r>
      <w:r>
        <w:rPr>
          <w:rFonts w:hint="eastAsia" w:ascii="仿宋_GB2312" w:hAnsi="华文仿宋" w:eastAsia="仿宋_GB2312"/>
          <w:sz w:val="32"/>
          <w:szCs w:val="32"/>
          <w:lang w:val="en-US" w:eastAsia="zh-CN"/>
        </w:rPr>
        <w:t>2022年在职在编人员只有2名人员，2023年增加到了4名在职在编人员。</w:t>
      </w:r>
    </w:p>
    <w:p>
      <w:pPr>
        <w:pStyle w:val="3"/>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按支出功能分类科目划分，共分为5类，其中：一般公共服务支出0.83万元，教育支出334.90万元，科学技术支出0.40万元，社会保障和就业支出9.94万元，住房保障支出4.97万元。</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1.一般公共服务支出0.83万元；占支出总预算0.24%，同比增加0.51万元，同比增长159.38%。原因是：</w:t>
      </w:r>
      <w:r>
        <w:rPr>
          <w:rFonts w:hint="eastAsia" w:ascii="仿宋_GB2312" w:hAnsi="华文仿宋" w:eastAsia="仿宋_GB2312"/>
          <w:sz w:val="32"/>
          <w:szCs w:val="32"/>
          <w:lang w:val="en-US" w:eastAsia="zh-CN"/>
        </w:rPr>
        <w:t>2022年在职在编人员只有2名人员的支出预算，2023年增加到了4名在职在编人员的支出预算。</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sz w:val="32"/>
          <w:szCs w:val="32"/>
          <w:lang w:val="en-US" w:eastAsia="zh-CN"/>
        </w:rPr>
      </w:pPr>
      <w:r>
        <w:rPr>
          <w:rFonts w:hint="eastAsia" w:ascii="仿宋_GB2312" w:hAnsi="华文仿宋" w:eastAsia="仿宋_GB2312" w:cs="Times New Roman"/>
          <w:kern w:val="2"/>
          <w:sz w:val="32"/>
          <w:szCs w:val="32"/>
          <w:lang w:val="en-US" w:eastAsia="zh-CN" w:bidi="ar-SA"/>
        </w:rPr>
        <w:t>2.教育支出334.90万元，占支出总预算95.40%，同比增加31.27万元，同比增长10.30%。原因是：</w:t>
      </w:r>
      <w:r>
        <w:rPr>
          <w:rFonts w:hint="eastAsia" w:ascii="仿宋_GB2312" w:hAnsi="华文仿宋" w:eastAsia="仿宋_GB2312"/>
          <w:sz w:val="32"/>
          <w:szCs w:val="32"/>
          <w:lang w:val="en-US" w:eastAsia="zh-CN"/>
        </w:rPr>
        <w:t>2022年在职在编人员只有2名人员的支出预算，2023年增加到了4名在职在编人员的支出预算。</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3.科学技术支出0.40万元，占支出总预算0.11%，同比增加0.40万元，同比增长100%。原因是：2022年没有本分类科目支出预算。</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4.社会保障和就业支出9.94万元，占支出总预算2.83%，同比增加6.12万元，同比增长160.21%。原因是：</w:t>
      </w:r>
      <w:r>
        <w:rPr>
          <w:rFonts w:hint="eastAsia" w:ascii="仿宋_GB2312" w:hAnsi="华文仿宋" w:eastAsia="仿宋_GB2312"/>
          <w:sz w:val="32"/>
          <w:szCs w:val="32"/>
          <w:lang w:val="en-US" w:eastAsia="zh-CN"/>
        </w:rPr>
        <w:t>2022年在职在编人员只有2名人员的支出预算，2023年增加到了4名在职在编人员的支出预算。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5.住房公积金支出4.97万元，占支出总预算1.42%，同比增加3.06万元，同比增长160.21%。原因是：</w:t>
      </w:r>
      <w:r>
        <w:rPr>
          <w:rFonts w:hint="eastAsia" w:ascii="仿宋_GB2312" w:hAnsi="华文仿宋" w:eastAsia="仿宋_GB2312"/>
          <w:sz w:val="32"/>
          <w:szCs w:val="32"/>
          <w:lang w:val="en-US" w:eastAsia="zh-CN"/>
        </w:rPr>
        <w:t>2022年在职在编人员只有2名人员的支出预算，2023年增加到了4名在职在编人员的支出预算。</w:t>
      </w:r>
    </w:p>
    <w:p>
      <w:pPr>
        <w:pStyle w:val="3"/>
        <w:numPr>
          <w:ilvl w:val="0"/>
          <w:numId w:val="1"/>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1.基本支出预算63.03万元，占一般公共预算拨款支出预算17.96%，同比增加41.35万元，同比增长190.73%。原因是：</w:t>
      </w:r>
      <w:r>
        <w:rPr>
          <w:rFonts w:hint="eastAsia" w:ascii="仿宋_GB2312" w:hAnsi="华文仿宋" w:eastAsia="仿宋_GB2312"/>
          <w:sz w:val="32"/>
          <w:szCs w:val="32"/>
          <w:lang w:val="en-US" w:eastAsia="zh-CN"/>
        </w:rPr>
        <w:t>2022年在职在编人员只有2名人员的支出预算，2023年增加到了4名在职在编人员的支出预算。</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lang w:val="en-US" w:eastAsia="zh-CN"/>
        </w:rPr>
      </w:pPr>
      <w:r>
        <w:rPr>
          <w:rFonts w:hint="eastAsia" w:ascii="仿宋_GB2312" w:hAnsi="华文仿宋" w:eastAsia="仿宋_GB2312" w:cs="Times New Roman"/>
          <w:kern w:val="2"/>
          <w:sz w:val="32"/>
          <w:szCs w:val="32"/>
          <w:lang w:val="en-US" w:eastAsia="zh-CN" w:bidi="ar-SA"/>
        </w:rPr>
        <w:t>2.项目支出预算288万元；占支出总预算82.04%，同比无增长。</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2023年支出预算总体增加，主要是在职在编人员经费的增加。</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lang w:val="en-US" w:eastAsia="zh-CN"/>
        </w:rPr>
      </w:pP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3"/>
        <w:keepNext w:val="0"/>
        <w:keepLines w:val="0"/>
        <w:pageBreakBefore w:val="0"/>
        <w:kinsoku/>
        <w:wordWrap/>
        <w:overflowPunct/>
        <w:topLinePunct w:val="0"/>
        <w:autoSpaceDE/>
        <w:autoSpaceDN/>
        <w:bidi w:val="0"/>
        <w:spacing w:before="0" w:beforeAutospacing="0" w:after="0" w:afterAutospacing="0" w:line="240" w:lineRule="auto"/>
        <w:ind w:firstLine="640" w:firstLineChars="200"/>
        <w:jc w:val="left"/>
        <w:textAlignment w:val="auto"/>
        <w:outlineLvl w:val="9"/>
        <w:rPr>
          <w:rFonts w:hint="eastAsia" w:ascii="黑体" w:hAnsi="黑体" w:eastAsia="黑体" w:cs="黑体"/>
          <w:b/>
          <w:bCs/>
          <w:color w:val="000000"/>
          <w:kern w:val="0"/>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2023年单位财政拨款收支总预算351.03万元， 收入包括一般公共预算财政拨款收入351.03万元，支出包括：一般公共服务支出0.83万元，教育支出334.90万元，科学技术支出0.40万元，社会保障和就业支出9.94万元，住房保障支出4.97万元。</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2023年单位一般公共预算拨款支出351.03万元，其中：基本支出63.03万元，项目支出288万元，具体支出预算如下：</w:t>
      </w:r>
    </w:p>
    <w:p>
      <w:pPr>
        <w:pStyle w:val="3"/>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（一）其他群众团体事务支出0.83万元，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在职在编人员工会费。</w:t>
      </w:r>
    </w:p>
    <w:p>
      <w:pPr>
        <w:pStyle w:val="3"/>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（二）学前教育334.90万元，</w:t>
      </w:r>
      <w:r>
        <w:rPr>
          <w:rFonts w:hint="eastAsia" w:ascii="仿宋_GB2312" w:hAnsi="华文仿宋" w:eastAsia="仿宋_GB2312" w:cs="Times New Roman"/>
          <w:b w:val="0"/>
          <w:bCs w:val="0"/>
          <w:strike w:val="0"/>
          <w:color w:val="auto"/>
          <w:kern w:val="2"/>
          <w:sz w:val="32"/>
          <w:szCs w:val="32"/>
          <w:u w:val="none"/>
          <w:lang w:val="en-US" w:eastAsia="zh-CN" w:bidi="ar-SA"/>
        </w:rPr>
        <w:t>其中：基本支出预算46.90万元，项目支出预算288万元。</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工资福利支出及社会保障（包括在职在编人员和聘用人员）。</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（三）</w:t>
      </w:r>
      <w:r>
        <w:rPr>
          <w:rFonts w:hint="eastAsia" w:ascii="仿宋_GB2312" w:hAnsi="华文仿宋" w:eastAsia="仿宋_GB2312" w:cs="Times New Roman"/>
          <w:b w:val="0"/>
          <w:bCs w:val="0"/>
          <w:color w:val="auto"/>
          <w:kern w:val="2"/>
          <w:sz w:val="32"/>
          <w:szCs w:val="32"/>
          <w:lang w:val="en-US" w:eastAsia="zh-CN" w:bidi="ar-SA"/>
        </w:rPr>
        <w:t>其他科学技术支出0.40万元，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在职在编人员工青妇党建经费支出。</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（三）</w:t>
      </w:r>
      <w:r>
        <w:rPr>
          <w:rFonts w:hint="eastAsia" w:ascii="仿宋_GB2312" w:hAnsi="华文仿宋" w:eastAsia="仿宋_GB2312" w:cs="Times New Roman"/>
          <w:b w:val="0"/>
          <w:bCs w:val="0"/>
          <w:color w:val="auto"/>
          <w:kern w:val="2"/>
          <w:sz w:val="32"/>
          <w:szCs w:val="32"/>
          <w:lang w:val="en-US" w:eastAsia="zh-CN" w:bidi="ar-SA"/>
        </w:rPr>
        <w:t>机关事业单位基本养老保险缴费支出6.62万元，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在职在编人员基本养老保险缴费支出。</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（四）</w:t>
      </w:r>
      <w:r>
        <w:rPr>
          <w:rFonts w:hint="eastAsia" w:ascii="仿宋_GB2312" w:hAnsi="华文仿宋" w:eastAsia="仿宋_GB2312" w:cs="Times New Roman"/>
          <w:b w:val="0"/>
          <w:bCs w:val="0"/>
          <w:color w:val="auto"/>
          <w:kern w:val="2"/>
          <w:sz w:val="32"/>
          <w:szCs w:val="32"/>
          <w:lang w:val="en-US" w:eastAsia="zh-CN" w:bidi="ar-SA"/>
        </w:rPr>
        <w:t>机关事业单位职业年金缴费支出3.31万元，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在职在编人员职业年金缴费支出。</w:t>
      </w:r>
    </w:p>
    <w:p>
      <w:pPr>
        <w:pStyle w:val="3"/>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olor w:val="auto"/>
          <w:sz w:val="32"/>
          <w:szCs w:val="32"/>
          <w:lang w:eastAsia="zh-CN"/>
        </w:rPr>
        <w:t>（五）</w:t>
      </w:r>
      <w:r>
        <w:rPr>
          <w:rFonts w:hint="eastAsia" w:ascii="仿宋_GB2312" w:hAnsi="华文仿宋" w:eastAsia="仿宋_GB2312" w:cs="Times New Roman"/>
          <w:b w:val="0"/>
          <w:bCs w:val="0"/>
          <w:color w:val="auto"/>
          <w:kern w:val="2"/>
          <w:sz w:val="32"/>
          <w:szCs w:val="32"/>
          <w:lang w:val="en-US" w:eastAsia="zh-CN" w:bidi="ar-SA"/>
        </w:rPr>
        <w:t>住房公积金支出4.97万元，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在职在编人员住房公积金支出。</w:t>
      </w:r>
    </w:p>
    <w:p>
      <w:pPr>
        <w:keepNext w:val="0"/>
        <w:keepLines w:val="0"/>
        <w:pageBreakBefore w:val="0"/>
        <w:tabs>
          <w:tab w:val="center" w:pos="4475"/>
        </w:tabs>
        <w:kinsoku/>
        <w:wordWrap/>
        <w:overflowPunct/>
        <w:topLinePunct w:val="0"/>
        <w:autoSpaceDE/>
        <w:autoSpaceDN/>
        <w:bidi w:val="0"/>
        <w:spacing w:line="560" w:lineRule="exact"/>
        <w:jc w:val="both"/>
        <w:textAlignment w:val="auto"/>
        <w:rPr>
          <w:rFonts w:hint="eastAsia" w:ascii="仿宋_GB2312" w:hAnsi="华文仿宋" w:eastAsia="仿宋_GB2312"/>
          <w:color w:val="auto"/>
          <w:sz w:val="32"/>
          <w:szCs w:val="32"/>
          <w:lang w:eastAsia="zh-CN"/>
        </w:rPr>
      </w:pP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2023年单位一般公共预算基本支出63.03万元，其中：</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60.14万元，主要包括：基本工资、津贴补贴、绩效工资、机关事业单位基本养老保险缴费、职业年金缴费、职工基本医疗保险缴费、其他社会保障缴费、住房公积金、其他工资福利支出，对个人和家庭的补助支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（二）公用经费2.06万元，主要包括：工会经费、其他商品和服务支出。</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3"/>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2023年</w:t>
      </w:r>
      <w:r>
        <w:rPr>
          <w:rFonts w:hint="eastAsia" w:ascii="Times New Roman" w:hAnsi="Times New Roman" w:eastAsia="仿宋_GB2312" w:cs="Times New Roman"/>
          <w:bCs/>
          <w:color w:val="000000"/>
          <w:sz w:val="32"/>
          <w:szCs w:val="32"/>
          <w:highlight w:val="none"/>
          <w:lang w:eastAsia="zh-CN"/>
        </w:rPr>
        <w:t>单位</w:t>
      </w:r>
      <w:r>
        <w:rPr>
          <w:rFonts w:ascii="Times New Roman" w:hAnsi="Times New Roman" w:eastAsia="仿宋_GB2312" w:cs="Times New Roman"/>
          <w:bCs/>
          <w:color w:val="000000"/>
          <w:sz w:val="32"/>
          <w:szCs w:val="32"/>
          <w:highlight w:val="none"/>
        </w:rPr>
        <w:t>一般公共预算安排的“三公”经费支出预算</w:t>
      </w:r>
      <w:r>
        <w:rPr>
          <w:rFonts w:hint="eastAsia" w:ascii="Times New Roman" w:hAnsi="Times New Roman" w:eastAsia="仿宋_GB2312" w:cs="Times New Roman"/>
          <w:bCs/>
          <w:color w:val="000000"/>
          <w:sz w:val="32"/>
          <w:szCs w:val="32"/>
          <w:highlight w:val="none"/>
          <w:lang w:val="en-US" w:eastAsia="zh-CN"/>
        </w:rPr>
        <w:t>0</w:t>
      </w:r>
      <w:r>
        <w:rPr>
          <w:rFonts w:ascii="Times New Roman" w:hAnsi="Times New Roman" w:eastAsia="仿宋_GB2312" w:cs="Times New Roman"/>
          <w:bCs/>
          <w:color w:val="000000"/>
          <w:sz w:val="32"/>
          <w:szCs w:val="32"/>
          <w:highlight w:val="none"/>
        </w:rPr>
        <w:t>万元，</w:t>
      </w:r>
      <w:r>
        <w:rPr>
          <w:rFonts w:hint="eastAsia" w:ascii="仿宋_GB2312" w:hAnsi="华文仿宋" w:eastAsia="仿宋_GB2312"/>
          <w:bCs/>
          <w:color w:val="000000"/>
          <w:sz w:val="32"/>
          <w:szCs w:val="32"/>
          <w:highlight w:val="none"/>
        </w:rPr>
        <w:t>与上年持平</w:t>
      </w:r>
      <w:r>
        <w:rPr>
          <w:rFonts w:ascii="Times New Roman" w:hAnsi="Times New Roman" w:eastAsia="仿宋_GB2312" w:cs="Times New Roman"/>
          <w:bCs/>
          <w:color w:val="000000"/>
          <w:sz w:val="32"/>
          <w:szCs w:val="32"/>
          <w:highlight w:val="none"/>
        </w:rPr>
        <w:t>。其中：</w:t>
      </w:r>
    </w:p>
    <w:p>
      <w:pPr>
        <w:pStyle w:val="3"/>
        <w:numPr>
          <w:ilvl w:val="0"/>
          <w:numId w:val="2"/>
        </w:numPr>
        <w:spacing w:before="0" w:beforeAutospacing="0" w:after="0" w:afterAutospacing="0" w:line="540" w:lineRule="exact"/>
        <w:ind w:firstLine="640" w:firstLineChars="200"/>
        <w:jc w:val="both"/>
        <w:rPr>
          <w:rFonts w:ascii="仿宋_GB2312" w:hAnsi="华文仿宋" w:eastAsia="仿宋_GB2312"/>
          <w:bCs/>
          <w:color w:val="000000"/>
          <w:sz w:val="32"/>
          <w:szCs w:val="32"/>
          <w:highlight w:val="none"/>
        </w:rPr>
      </w:pPr>
      <w:r>
        <w:rPr>
          <w:rFonts w:ascii="Times New Roman" w:hAnsi="Times New Roman" w:eastAsia="仿宋_GB2312" w:cs="Times New Roman"/>
          <w:bCs/>
          <w:color w:val="000000"/>
          <w:sz w:val="32"/>
          <w:szCs w:val="32"/>
          <w:highlight w:val="none"/>
        </w:rPr>
        <w:t>因公出国（境）经费2023年预算</w:t>
      </w:r>
      <w:r>
        <w:rPr>
          <w:rFonts w:hint="eastAsia" w:ascii="Times New Roman" w:hAnsi="Times New Roman" w:eastAsia="仿宋_GB2312" w:cs="Times New Roman"/>
          <w:bCs/>
          <w:color w:val="000000"/>
          <w:sz w:val="32"/>
          <w:szCs w:val="32"/>
          <w:highlight w:val="none"/>
        </w:rPr>
        <w:t>0</w:t>
      </w:r>
      <w:r>
        <w:rPr>
          <w:rFonts w:ascii="Times New Roman" w:hAnsi="Times New Roman" w:eastAsia="仿宋_GB2312" w:cs="Times New Roman"/>
          <w:bCs/>
          <w:color w:val="000000"/>
          <w:sz w:val="32"/>
          <w:szCs w:val="32"/>
          <w:highlight w:val="none"/>
        </w:rPr>
        <w:t>万元，</w:t>
      </w:r>
      <w:r>
        <w:rPr>
          <w:rFonts w:hint="eastAsia" w:ascii="仿宋_GB2312" w:hAnsi="华文仿宋" w:eastAsia="仿宋_GB2312"/>
          <w:bCs/>
          <w:color w:val="000000"/>
          <w:sz w:val="32"/>
          <w:szCs w:val="32"/>
          <w:highlight w:val="none"/>
        </w:rPr>
        <w:t>与上年持平。</w:t>
      </w:r>
    </w:p>
    <w:p>
      <w:pPr>
        <w:pStyle w:val="3"/>
        <w:numPr>
          <w:ilvl w:val="0"/>
          <w:numId w:val="2"/>
        </w:numPr>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公务接待费2023年预算</w:t>
      </w:r>
      <w:r>
        <w:rPr>
          <w:rFonts w:hint="eastAsia" w:ascii="Times New Roman" w:hAnsi="Times New Roman" w:eastAsia="仿宋_GB2312" w:cs="Times New Roman"/>
          <w:bCs/>
          <w:color w:val="000000"/>
          <w:sz w:val="32"/>
          <w:szCs w:val="32"/>
          <w:highlight w:val="none"/>
          <w:lang w:val="en-US" w:eastAsia="zh-CN"/>
        </w:rPr>
        <w:t>0</w:t>
      </w:r>
      <w:r>
        <w:rPr>
          <w:rFonts w:ascii="Times New Roman" w:hAnsi="Times New Roman" w:eastAsia="仿宋_GB2312" w:cs="Times New Roman"/>
          <w:bCs/>
          <w:color w:val="000000"/>
          <w:sz w:val="32"/>
          <w:szCs w:val="32"/>
          <w:highlight w:val="none"/>
        </w:rPr>
        <w:t>万元，</w:t>
      </w:r>
      <w:r>
        <w:rPr>
          <w:rFonts w:hint="eastAsia" w:ascii="仿宋_GB2312" w:hAnsi="华文仿宋" w:eastAsia="仿宋_GB2312"/>
          <w:bCs/>
          <w:color w:val="000000"/>
          <w:sz w:val="32"/>
          <w:szCs w:val="32"/>
          <w:highlight w:val="none"/>
        </w:rPr>
        <w:t>与上年持平。</w:t>
      </w:r>
    </w:p>
    <w:p>
      <w:pPr>
        <w:pStyle w:val="3"/>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sz w:val="32"/>
          <w:szCs w:val="32"/>
          <w:highlight w:val="none"/>
        </w:rPr>
        <w:t>（三）</w:t>
      </w:r>
      <w:r>
        <w:rPr>
          <w:rFonts w:ascii="Times New Roman" w:hAnsi="Times New Roman" w:eastAsia="仿宋_GB2312" w:cs="Times New Roman"/>
          <w:bCs/>
          <w:color w:val="000000"/>
          <w:sz w:val="32"/>
          <w:szCs w:val="32"/>
          <w:highlight w:val="none"/>
        </w:rPr>
        <w:t>公务用车购置及运行维护费2023年预算</w:t>
      </w:r>
      <w:r>
        <w:rPr>
          <w:rFonts w:hint="eastAsia" w:ascii="Times New Roman" w:hAnsi="Times New Roman" w:eastAsia="仿宋_GB2312" w:cs="Times New Roman"/>
          <w:bCs/>
          <w:color w:val="000000"/>
          <w:sz w:val="32"/>
          <w:szCs w:val="32"/>
          <w:highlight w:val="none"/>
          <w:lang w:val="en-US" w:eastAsia="zh-CN"/>
        </w:rPr>
        <w:t>0</w:t>
      </w:r>
      <w:r>
        <w:rPr>
          <w:rFonts w:ascii="Times New Roman" w:hAnsi="Times New Roman" w:eastAsia="仿宋_GB2312" w:cs="Times New Roman"/>
          <w:bCs/>
          <w:color w:val="000000"/>
          <w:sz w:val="32"/>
          <w:szCs w:val="32"/>
          <w:highlight w:val="none"/>
        </w:rPr>
        <w:t>万元，同比增加</w:t>
      </w:r>
      <w:r>
        <w:rPr>
          <w:rFonts w:hint="eastAsia" w:ascii="Times New Roman" w:hAnsi="Times New Roman" w:eastAsia="仿宋_GB2312" w:cs="Times New Roman"/>
          <w:bCs/>
          <w:color w:val="000000"/>
          <w:sz w:val="32"/>
          <w:szCs w:val="32"/>
          <w:highlight w:val="none"/>
        </w:rPr>
        <w:t>0</w:t>
      </w:r>
      <w:r>
        <w:rPr>
          <w:rFonts w:ascii="Times New Roman" w:hAnsi="Times New Roman" w:eastAsia="仿宋_GB2312" w:cs="Times New Roman"/>
          <w:bCs/>
          <w:color w:val="000000"/>
          <w:sz w:val="32"/>
          <w:szCs w:val="32"/>
          <w:highlight w:val="none"/>
        </w:rPr>
        <w:t>万元。</w:t>
      </w:r>
      <w:r>
        <w:rPr>
          <w:rFonts w:hint="eastAsia" w:ascii="Times New Roman" w:hAnsi="Times New Roman" w:eastAsia="仿宋_GB2312" w:cs="Times New Roman"/>
          <w:bCs/>
          <w:color w:val="000000"/>
          <w:sz w:val="32"/>
          <w:szCs w:val="32"/>
          <w:highlight w:val="none"/>
        </w:rPr>
        <w:t>其中：</w:t>
      </w:r>
    </w:p>
    <w:p>
      <w:pPr>
        <w:pStyle w:val="3"/>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1.公务用车购置费2023年预算</w:t>
      </w:r>
      <w:r>
        <w:rPr>
          <w:rFonts w:hint="eastAsia" w:ascii="Times New Roman" w:hAnsi="Times New Roman" w:eastAsia="仿宋_GB2312" w:cs="Times New Roman"/>
          <w:bCs/>
          <w:color w:val="000000"/>
          <w:sz w:val="32"/>
          <w:szCs w:val="32"/>
          <w:highlight w:val="none"/>
        </w:rPr>
        <w:t>0</w:t>
      </w:r>
      <w:r>
        <w:rPr>
          <w:rFonts w:ascii="Times New Roman" w:hAnsi="Times New Roman" w:eastAsia="仿宋_GB2312" w:cs="Times New Roman"/>
          <w:bCs/>
          <w:color w:val="000000"/>
          <w:sz w:val="32"/>
          <w:szCs w:val="32"/>
          <w:highlight w:val="none"/>
        </w:rPr>
        <w:t>万元，</w:t>
      </w:r>
      <w:r>
        <w:rPr>
          <w:rFonts w:hint="eastAsia" w:ascii="仿宋_GB2312" w:hAnsi="华文仿宋" w:eastAsia="仿宋_GB2312"/>
          <w:bCs/>
          <w:color w:val="000000"/>
          <w:sz w:val="32"/>
          <w:szCs w:val="32"/>
          <w:highlight w:val="none"/>
        </w:rPr>
        <w:t>与上年持平。</w:t>
      </w:r>
    </w:p>
    <w:p>
      <w:pPr>
        <w:pStyle w:val="3"/>
        <w:spacing w:before="0" w:beforeAutospacing="0" w:after="0" w:afterAutospacing="0" w:line="540" w:lineRule="exact"/>
        <w:ind w:firstLine="640" w:firstLineChars="200"/>
        <w:jc w:val="both"/>
        <w:rPr>
          <w:rFonts w:ascii="Times New Roman" w:hAnsi="Times New Roman" w:eastAsia="仿宋_GB2312" w:cs="Times New Roman"/>
          <w:b/>
          <w:kern w:val="2"/>
          <w:sz w:val="32"/>
          <w:szCs w:val="32"/>
        </w:rPr>
      </w:pPr>
      <w:r>
        <w:rPr>
          <w:rFonts w:ascii="Times New Roman" w:hAnsi="Times New Roman" w:eastAsia="仿宋_GB2312" w:cs="Times New Roman"/>
          <w:bCs/>
          <w:color w:val="000000"/>
          <w:sz w:val="32"/>
          <w:szCs w:val="32"/>
          <w:highlight w:val="none"/>
        </w:rPr>
        <w:t>2.公务用车运行维护费2023年预算</w:t>
      </w:r>
      <w:r>
        <w:rPr>
          <w:rFonts w:hint="eastAsia" w:ascii="Times New Roman" w:hAnsi="Times New Roman" w:eastAsia="仿宋_GB2312" w:cs="Times New Roman"/>
          <w:bCs/>
          <w:color w:val="000000"/>
          <w:sz w:val="32"/>
          <w:szCs w:val="32"/>
          <w:highlight w:val="none"/>
          <w:lang w:val="en-US" w:eastAsia="zh-CN"/>
        </w:rPr>
        <w:t>0</w:t>
      </w:r>
      <w:r>
        <w:rPr>
          <w:rFonts w:ascii="Times New Roman" w:hAnsi="Times New Roman" w:eastAsia="仿宋_GB2312" w:cs="Times New Roman"/>
          <w:bCs/>
          <w:color w:val="000000"/>
          <w:sz w:val="32"/>
          <w:szCs w:val="32"/>
          <w:highlight w:val="none"/>
        </w:rPr>
        <w:t>万元，</w:t>
      </w:r>
      <w:r>
        <w:rPr>
          <w:rFonts w:hint="eastAsia" w:ascii="仿宋_GB2312" w:hAnsi="华文仿宋" w:eastAsia="仿宋_GB2312"/>
          <w:bCs/>
          <w:color w:val="000000"/>
          <w:sz w:val="32"/>
          <w:szCs w:val="32"/>
          <w:highlight w:val="none"/>
        </w:rPr>
        <w:t>与上年持平</w:t>
      </w:r>
      <w:r>
        <w:rPr>
          <w:rFonts w:ascii="Times New Roman" w:hAnsi="Times New Roman" w:eastAsia="仿宋_GB2312" w:cs="Times New Roman"/>
          <w:bCs/>
          <w:color w:val="000000"/>
          <w:sz w:val="32"/>
          <w:szCs w:val="32"/>
          <w:highlight w:val="none"/>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仿宋_GB2312" w:hAnsi="华文仿宋" w:eastAsia="仿宋_GB2312"/>
          <w:bCs/>
          <w:color w:val="000000"/>
          <w:sz w:val="32"/>
          <w:szCs w:val="32"/>
          <w:lang w:eastAsia="zh-CN"/>
        </w:rPr>
      </w:pPr>
    </w:p>
    <w:p>
      <w:pPr>
        <w:keepNext w:val="0"/>
        <w:keepLines w:val="0"/>
        <w:pageBreakBefore w:val="0"/>
        <w:numPr>
          <w:ilvl w:val="0"/>
          <w:numId w:val="3"/>
        </w:numPr>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政府性基金预算情况说明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仿宋_GB2312" w:hAnsi="华文仿宋" w:eastAsia="仿宋_GB2312"/>
          <w:bCs/>
          <w:color w:val="000000"/>
          <w:sz w:val="32"/>
          <w:szCs w:val="32"/>
          <w:lang w:val="en-US" w:eastAsia="zh-CN"/>
        </w:rPr>
        <w:t>2023年</w:t>
      </w:r>
      <w:r>
        <w:rPr>
          <w:rFonts w:hint="eastAsia" w:ascii="仿宋_GB2312" w:hAnsi="华文仿宋" w:eastAsia="仿宋_GB2312"/>
          <w:bCs/>
          <w:color w:val="000000"/>
          <w:sz w:val="32"/>
          <w:szCs w:val="32"/>
          <w:lang w:eastAsia="zh-CN"/>
        </w:rPr>
        <w:t>本单位无“政府性基金”预算支出安排。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lang w:val="en-US" w:eastAsia="zh-CN" w:bidi="ar-SA"/>
        </w:rPr>
      </w:pP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2023年本单位无</w:t>
      </w:r>
      <w:r>
        <w:rPr>
          <w:rFonts w:hint="eastAsia" w:ascii="仿宋_GB2312" w:hAnsi="华文仿宋" w:eastAsia="仿宋_GB2312"/>
          <w:bCs/>
          <w:color w:val="000000"/>
          <w:sz w:val="32"/>
          <w:szCs w:val="32"/>
          <w:lang w:val="en-US" w:eastAsia="zh-CN"/>
        </w:rPr>
        <w:t>国有资本经营预算支出安排。</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2023年本单位无政府采购预算。</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spacing w:before="0" w:beforeAutospacing="0" w:after="0" w:afterAutospacing="0"/>
        <w:ind w:firstLine="640" w:firstLineChars="200"/>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2023年我单位无政府购买服务预算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lang w:eastAsia="zh-CN"/>
        </w:rPr>
      </w:pPr>
    </w:p>
    <w:p>
      <w:pPr>
        <w:pStyle w:val="3"/>
        <w:keepNext w:val="0"/>
        <w:keepLines w:val="0"/>
        <w:pageBreakBefore w:val="0"/>
        <w:numPr>
          <w:ilvl w:val="0"/>
          <w:numId w:val="4"/>
        </w:numPr>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重点项目支出绩效目标情况说明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黑体" w:hAnsi="黑体" w:eastAsia="黑体" w:cs="黑体"/>
          <w:b/>
          <w:bCs/>
          <w:color w:val="000000"/>
          <w:sz w:val="32"/>
          <w:szCs w:val="32"/>
          <w:lang w:eastAsia="zh-CN"/>
        </w:rPr>
      </w:pPr>
      <w:r>
        <w:rPr>
          <w:rFonts w:hint="eastAsia" w:ascii="仿宋_GB2312" w:hAnsi="华文仿宋" w:eastAsia="仿宋_GB2312" w:cs="宋体"/>
          <w:bCs/>
          <w:color w:val="000000"/>
          <w:kern w:val="0"/>
          <w:sz w:val="32"/>
          <w:szCs w:val="32"/>
          <w:lang w:val="en-US" w:eastAsia="zh-CN" w:bidi="ar-SA"/>
        </w:rPr>
        <w:t>2023年我单位无重点项目支出绩效目标预算</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lang w:eastAsia="zh-CN"/>
        </w:rPr>
      </w:pP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十三</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2023年单位预算其他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numPr>
          <w:ilvl w:val="0"/>
          <w:numId w:val="5"/>
        </w:numPr>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lang w:eastAsia="zh-CN"/>
        </w:rPr>
      </w:pPr>
      <w:r>
        <w:rPr>
          <w:rFonts w:hint="eastAsia" w:ascii="楷体_GB2312" w:hAnsi="华文仿宋" w:eastAsia="楷体_GB2312"/>
          <w:b/>
          <w:bCs w:val="0"/>
          <w:color w:val="000000"/>
          <w:sz w:val="32"/>
          <w:szCs w:val="32"/>
          <w:lang w:eastAsia="zh-CN"/>
        </w:rPr>
        <w:t>事业单位相关</w:t>
      </w:r>
      <w:r>
        <w:rPr>
          <w:rFonts w:hint="eastAsia" w:ascii="楷体_GB2312" w:hAnsi="华文仿宋" w:eastAsia="楷体_GB2312"/>
          <w:b/>
          <w:bCs w:val="0"/>
          <w:color w:val="000000"/>
          <w:sz w:val="32"/>
          <w:szCs w:val="32"/>
        </w:rPr>
        <w:t>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numPr>
          <w:ilvl w:val="0"/>
          <w:numId w:val="0"/>
        </w:numPr>
        <w:tabs>
          <w:tab w:val="center" w:pos="4475"/>
        </w:tabs>
        <w:kinsoku/>
        <w:wordWrap/>
        <w:overflowPunct/>
        <w:topLinePunct w:val="0"/>
        <w:autoSpaceDE/>
        <w:autoSpaceDN/>
        <w:bidi w:val="0"/>
        <w:spacing w:line="560" w:lineRule="exact"/>
        <w:ind w:firstLine="640" w:firstLineChars="200"/>
        <w:jc w:val="both"/>
        <w:textAlignment w:val="auto"/>
        <w:rPr>
          <w:rFonts w:hint="eastAsia" w:ascii="楷体_GB2312" w:hAnsi="华文仿宋" w:eastAsia="楷体_GB2312"/>
          <w:b/>
          <w:bCs w:val="0"/>
          <w:color w:val="000000"/>
          <w:sz w:val="32"/>
          <w:szCs w:val="32"/>
          <w:lang w:eastAsia="zh-CN"/>
        </w:rPr>
      </w:pPr>
      <w:r>
        <w:rPr>
          <w:rFonts w:hint="eastAsia" w:ascii="仿宋_GB2312" w:hAnsi="华文仿宋" w:eastAsia="仿宋_GB2312" w:cs="宋体"/>
          <w:bCs/>
          <w:color w:val="000000"/>
          <w:kern w:val="0"/>
          <w:sz w:val="32"/>
          <w:szCs w:val="32"/>
          <w:lang w:val="en-US" w:eastAsia="zh-CN" w:bidi="ar-SA"/>
        </w:rPr>
        <w:t>2023年我单位无</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240" w:lineRule="auto"/>
        <w:ind w:firstLine="640" w:firstLineChars="200"/>
        <w:jc w:val="left"/>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2023年我单位无国有资产占用情况。</w:t>
      </w: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lang w:eastAsia="zh-CN"/>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
          <w:bCs/>
          <w:color w:val="000000"/>
          <w:sz w:val="32"/>
          <w:szCs w:val="32"/>
          <w:lang w:eastAsia="zh-CN"/>
        </w:rPr>
        <w:t>第三部分：柳州市马鞍山幼儿园</w:t>
      </w:r>
      <w:r>
        <w:rPr>
          <w:rFonts w:hint="eastAsia" w:ascii="仿宋_GB2312" w:hAnsi="华文仿宋" w:eastAsia="仿宋_GB2312"/>
          <w:b/>
          <w:bCs/>
          <w:color w:val="000000"/>
          <w:sz w:val="32"/>
          <w:szCs w:val="32"/>
          <w:lang w:val="en-US" w:eastAsia="zh-CN"/>
        </w:rPr>
        <w:t>2023年单位预算报表</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一、</w:t>
      </w:r>
      <w:r>
        <w:rPr>
          <w:rFonts w:hint="eastAsia" w:ascii="Times New Roman" w:hAnsi="Times New Roman" w:eastAsia="仿宋_GB2312" w:cs="Times New Roman"/>
          <w:bCs/>
          <w:color w:val="000000"/>
          <w:sz w:val="32"/>
          <w:szCs w:val="32"/>
          <w:highlight w:val="none"/>
        </w:rPr>
        <w:t>部门</w:t>
      </w:r>
      <w:r>
        <w:rPr>
          <w:rFonts w:ascii="Times New Roman" w:hAnsi="Times New Roman" w:eastAsia="仿宋_GB2312" w:cs="Times New Roman"/>
          <w:bCs/>
          <w:color w:val="000000"/>
          <w:sz w:val="32"/>
          <w:szCs w:val="32"/>
          <w:highlight w:val="none"/>
        </w:rPr>
        <w:t>收支总体情况表（表1）</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二、</w:t>
      </w:r>
      <w:r>
        <w:rPr>
          <w:rFonts w:hint="eastAsia" w:ascii="Times New Roman" w:hAnsi="Times New Roman" w:eastAsia="仿宋_GB2312" w:cs="Times New Roman"/>
          <w:bCs/>
          <w:color w:val="000000"/>
          <w:sz w:val="32"/>
          <w:szCs w:val="32"/>
          <w:highlight w:val="none"/>
        </w:rPr>
        <w:t>部门</w:t>
      </w:r>
      <w:r>
        <w:rPr>
          <w:rFonts w:ascii="Times New Roman" w:hAnsi="Times New Roman" w:eastAsia="仿宋_GB2312" w:cs="Times New Roman"/>
          <w:bCs/>
          <w:color w:val="000000"/>
          <w:sz w:val="32"/>
          <w:szCs w:val="32"/>
          <w:highlight w:val="none"/>
        </w:rPr>
        <w:t>收入总体情况表（表2）</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三、</w:t>
      </w:r>
      <w:r>
        <w:rPr>
          <w:rFonts w:hint="eastAsia" w:ascii="Times New Roman" w:hAnsi="Times New Roman" w:eastAsia="仿宋_GB2312" w:cs="Times New Roman"/>
          <w:bCs/>
          <w:color w:val="000000"/>
          <w:sz w:val="32"/>
          <w:szCs w:val="32"/>
          <w:highlight w:val="none"/>
        </w:rPr>
        <w:t>部门</w:t>
      </w:r>
      <w:r>
        <w:rPr>
          <w:rFonts w:ascii="Times New Roman" w:hAnsi="Times New Roman" w:eastAsia="仿宋_GB2312" w:cs="Times New Roman"/>
          <w:bCs/>
          <w:color w:val="000000"/>
          <w:sz w:val="32"/>
          <w:szCs w:val="32"/>
          <w:highlight w:val="none"/>
        </w:rPr>
        <w:t>支出总体情况表（表3）</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四、财政拨款收支总体情况表（表4）</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五、一般公共预算支出情况表（表5）</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六、一般公共预算基本支出情况表（表6）</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七、财政拨款三公两费支出情况表（表7）</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八、政府性基金预算支出情况表（表8）</w:t>
      </w:r>
    </w:p>
    <w:p>
      <w:pPr>
        <w:pStyle w:val="3"/>
        <w:spacing w:before="0" w:beforeAutospacing="0" w:after="0" w:afterAutospacing="0" w:line="540" w:lineRule="exact"/>
        <w:ind w:firstLine="640" w:firstLineChars="200"/>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九、国有资本经营预算支出情况表（表9）</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left"/>
        <w:textAlignment w:val="auto"/>
        <w:rPr>
          <w:rFonts w:hint="eastAsia" w:ascii="仿宋_GB2312" w:hAnsi="华文仿宋" w:eastAsia="仿宋_GB2312"/>
          <w:sz w:val="32"/>
          <w:szCs w:val="32"/>
          <w:highlight w:val="cyan"/>
        </w:rPr>
      </w:pPr>
      <w:r>
        <w:rPr>
          <w:rFonts w:hint="eastAsia" w:ascii="仿宋_GB2312" w:hAnsi="华文仿宋" w:eastAsia="仿宋_GB2312"/>
          <w:b/>
          <w:bCs/>
          <w:sz w:val="32"/>
          <w:szCs w:val="32"/>
          <w:highlight w:val="none"/>
        </w:rPr>
        <w:t>上述报表详见附件。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center"/>
        <w:textAlignment w:val="auto"/>
        <w:outlineLvl w:val="9"/>
        <w:rPr>
          <w:rFonts w:hint="eastAsia" w:ascii="仿宋_GB2312" w:hAnsi="华文仿宋" w:eastAsia="仿宋_GB2312"/>
          <w:b/>
          <w:bCs/>
          <w:color w:val="000000"/>
          <w:sz w:val="32"/>
          <w:szCs w:val="32"/>
          <w:u w:val="none"/>
          <w:lang w:eastAsia="zh-CN"/>
        </w:rPr>
      </w:pPr>
      <w:r>
        <w:rPr>
          <w:rFonts w:hint="eastAsia" w:ascii="仿宋_GB2312" w:hAnsi="华文仿宋" w:eastAsia="仿宋_GB2312"/>
          <w:b/>
          <w:bCs/>
          <w:color w:val="000000"/>
          <w:sz w:val="32"/>
          <w:szCs w:val="32"/>
          <w:u w:val="none"/>
          <w:lang w:eastAsia="zh-CN"/>
        </w:rPr>
        <w:fldChar w:fldCharType="begin"/>
      </w:r>
      <w:r>
        <w:rPr>
          <w:rFonts w:hint="eastAsia" w:ascii="仿宋_GB2312" w:hAnsi="华文仿宋" w:eastAsia="仿宋_GB2312"/>
          <w:b/>
          <w:bCs/>
          <w:color w:val="000000"/>
          <w:sz w:val="32"/>
          <w:szCs w:val="32"/>
          <w:u w:val="none"/>
          <w:lang w:eastAsia="zh-CN"/>
        </w:rPr>
        <w:instrText xml:space="preserve"> HYPERLINK "马幼-1.8.1部门预算公开表_2023-02-15.xls" </w:instrText>
      </w:r>
      <w:r>
        <w:rPr>
          <w:rFonts w:hint="eastAsia" w:ascii="仿宋_GB2312" w:hAnsi="华文仿宋" w:eastAsia="仿宋_GB2312"/>
          <w:b/>
          <w:bCs/>
          <w:color w:val="000000"/>
          <w:sz w:val="32"/>
          <w:szCs w:val="32"/>
          <w:u w:val="none"/>
          <w:lang w:eastAsia="zh-CN"/>
        </w:rPr>
        <w:fldChar w:fldCharType="separate"/>
      </w:r>
      <w:r>
        <w:rPr>
          <w:rStyle w:val="8"/>
          <w:rFonts w:hint="eastAsia" w:ascii="仿宋_GB2312" w:hAnsi="华文仿宋" w:eastAsia="仿宋_GB2312"/>
          <w:b/>
          <w:bCs/>
          <w:color w:val="000000"/>
          <w:sz w:val="32"/>
          <w:szCs w:val="32"/>
          <w:lang w:eastAsia="zh-CN"/>
        </w:rPr>
        <w:t>1.8.1部门预算公开表_2023-02-15.xls</w:t>
      </w:r>
      <w:r>
        <w:rPr>
          <w:rFonts w:hint="eastAsia" w:ascii="仿宋_GB2312" w:hAnsi="华文仿宋" w:eastAsia="仿宋_GB2312"/>
          <w:b/>
          <w:bCs/>
          <w:color w:val="000000"/>
          <w:sz w:val="32"/>
          <w:szCs w:val="32"/>
          <w:u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华文仿宋" w:eastAsia="仿宋_GB2312"/>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华文仿宋" w:eastAsia="仿宋_GB2312"/>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center"/>
        <w:textAlignment w:val="auto"/>
        <w:outlineLvl w:val="9"/>
        <w:rPr>
          <w:rFonts w:hint="eastAsia" w:ascii="仿宋_GB2312" w:hAnsi="华文仿宋" w:eastAsia="仿宋_GB2312"/>
          <w:b/>
          <w:bCs/>
          <w:color w:val="000000"/>
          <w:sz w:val="32"/>
          <w:szCs w:val="32"/>
          <w:lang w:eastAsia="zh-CN"/>
        </w:rPr>
      </w:pPr>
      <w:r>
        <w:rPr>
          <w:rFonts w:hint="eastAsia" w:ascii="仿宋_GB2312" w:hAnsi="华文仿宋" w:eastAsia="仿宋_GB2312"/>
          <w:b/>
          <w:bCs/>
          <w:color w:val="000000"/>
          <w:sz w:val="32"/>
          <w:szCs w:val="32"/>
          <w:lang w:eastAsia="zh-CN"/>
        </w:rPr>
        <w:t>第四部分：名词解释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pPr>
      <w:r>
        <w:rPr>
          <w:rFonts w:hint="eastAsia" w:ascii="黑体" w:hAnsi="黑体" w:eastAsia="黑体" w:cs="黑体"/>
          <w:b/>
          <w:bCs/>
          <w:color w:val="000000"/>
          <w:kern w:val="0"/>
          <w:sz w:val="32"/>
          <w:szCs w:val="32"/>
          <w:lang w:val="en-US" w:eastAsia="zh-CN" w:bidi="ar-SA"/>
        </w:rPr>
        <w:t>八、机关运行经费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BF9A0"/>
    <w:multiLevelType w:val="singleLevel"/>
    <w:tmpl w:val="A45BF9A0"/>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abstractNum w:abstractNumId="2">
    <w:nsid w:val="33CB73F6"/>
    <w:multiLevelType w:val="singleLevel"/>
    <w:tmpl w:val="33CB73F6"/>
    <w:lvl w:ilvl="0" w:tentative="0">
      <w:start w:val="8"/>
      <w:numFmt w:val="chineseCounting"/>
      <w:suff w:val="nothing"/>
      <w:lvlText w:val="%1、"/>
      <w:lvlJc w:val="left"/>
      <w:rPr>
        <w:rFonts w:hint="eastAsia"/>
      </w:rPr>
    </w:lvl>
  </w:abstractNum>
  <w:abstractNum w:abstractNumId="3">
    <w:nsid w:val="3C6C7E1E"/>
    <w:multiLevelType w:val="singleLevel"/>
    <w:tmpl w:val="3C6C7E1E"/>
    <w:lvl w:ilvl="0" w:tentative="0">
      <w:start w:val="12"/>
      <w:numFmt w:val="chineseCounting"/>
      <w:suff w:val="nothing"/>
      <w:lvlText w:val="%1、"/>
      <w:lvlJc w:val="left"/>
      <w:rPr>
        <w:rFonts w:hint="eastAsia"/>
      </w:rPr>
    </w:lvl>
  </w:abstractNum>
  <w:abstractNum w:abstractNumId="4">
    <w:nsid w:val="690B5DC0"/>
    <w:multiLevelType w:val="singleLevel"/>
    <w:tmpl w:val="690B5DC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2F560E87"/>
    <w:rsid w:val="00FE5F9D"/>
    <w:rsid w:val="05C63B3C"/>
    <w:rsid w:val="08276F1C"/>
    <w:rsid w:val="0A045582"/>
    <w:rsid w:val="0A8A61A4"/>
    <w:rsid w:val="10CE4126"/>
    <w:rsid w:val="13A4281C"/>
    <w:rsid w:val="170B232A"/>
    <w:rsid w:val="1AFA1902"/>
    <w:rsid w:val="1F4204B7"/>
    <w:rsid w:val="269A10F3"/>
    <w:rsid w:val="270F4CEC"/>
    <w:rsid w:val="29B86C23"/>
    <w:rsid w:val="2F560E87"/>
    <w:rsid w:val="350D3B47"/>
    <w:rsid w:val="353F5166"/>
    <w:rsid w:val="389D3E57"/>
    <w:rsid w:val="3F7D45CF"/>
    <w:rsid w:val="4252154E"/>
    <w:rsid w:val="50563C9B"/>
    <w:rsid w:val="52CB26BC"/>
    <w:rsid w:val="543A251A"/>
    <w:rsid w:val="5A0E1D6B"/>
    <w:rsid w:val="60461795"/>
    <w:rsid w:val="61E768CF"/>
    <w:rsid w:val="6D547EB5"/>
    <w:rsid w:val="6D5D6CF0"/>
    <w:rsid w:val="7E51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 w:type="character" w:styleId="8">
    <w:name w:val="FollowedHyperlink"/>
    <w:basedOn w:val="5"/>
    <w:qFormat/>
    <w:uiPriority w:val="0"/>
    <w:rPr>
      <w:color w:val="800080"/>
      <w:u w:val="single"/>
    </w:rPr>
  </w:style>
  <w:style w:type="character" w:styleId="9">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3135</Words>
  <Characters>3594</Characters>
  <Lines>0</Lines>
  <Paragraphs>0</Paragraphs>
  <TotalTime>2</TotalTime>
  <ScaleCrop>false</ScaleCrop>
  <LinksUpToDate>false</LinksUpToDate>
  <CharactersWithSpaces>3599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2022-05-27T08:31:00Z</dcterms:created>
  <dc:creator>七月夏天</dc:creator>
  <cp:lastModifiedBy>ちひろ</cp:lastModifiedBy>
  <dcterms:modified xsi:type="dcterms:W3CDTF">2023-05-09T09:17:46Z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5936D6240B344592AD55D68DA3814FEE</vt:lpwstr>
  </property>
</Properties>
</file>