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spacing w:val="8"/>
          <w:kern w:val="0"/>
          <w:szCs w:val="32"/>
        </w:rPr>
      </w:pPr>
      <w:bookmarkStart w:id="1" w:name="_GoBack"/>
      <w:bookmarkEnd w:id="1"/>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小标宋简体" w:cs="Times New Roman"/>
          <w:color w:val="auto"/>
          <w:sz w:val="36"/>
          <w:szCs w:val="36"/>
          <w:highlight w:val="none"/>
        </w:rPr>
      </w:pP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w:t>
      </w:r>
    </w:p>
    <w:p>
      <w:pPr>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《202</w:t>
      </w:r>
      <w:r>
        <w:rPr>
          <w:rFonts w:hint="default" w:ascii="Times New Roman" w:hAnsi="Times New Roman" w:eastAsia="方正小标宋简体" w:cs="Times New Roman"/>
          <w:color w:val="auto"/>
          <w:sz w:val="32"/>
          <w:szCs w:val="32"/>
          <w:highlight w:val="none"/>
          <w:lang w:val="en-US" w:eastAsia="zh-CN"/>
        </w:rPr>
        <w:t>3</w:t>
      </w:r>
      <w:r>
        <w:rPr>
          <w:rFonts w:hint="default" w:ascii="Times New Roman" w:hAnsi="Times New Roman" w:eastAsia="方正小标宋简体" w:cs="Times New Roman"/>
          <w:color w:val="auto"/>
          <w:sz w:val="32"/>
          <w:szCs w:val="32"/>
          <w:highlight w:val="none"/>
        </w:rPr>
        <w:t>年</w:t>
      </w:r>
      <w:r>
        <w:rPr>
          <w:rFonts w:hint="default" w:ascii="Times New Roman" w:hAnsi="Times New Roman" w:eastAsia="方正小标宋简体" w:cs="Times New Roman"/>
          <w:color w:val="auto"/>
          <w:sz w:val="32"/>
          <w:szCs w:val="32"/>
          <w:highlight w:val="none"/>
          <w:lang w:val="en-US" w:eastAsia="zh-CN"/>
        </w:rPr>
        <w:t>鱼峰区</w:t>
      </w:r>
      <w:r>
        <w:rPr>
          <w:rFonts w:hint="default" w:ascii="Times New Roman" w:hAnsi="Times New Roman" w:eastAsia="方正小标宋简体" w:cs="Times New Roman"/>
          <w:color w:val="auto"/>
          <w:sz w:val="32"/>
          <w:szCs w:val="32"/>
          <w:highlight w:val="none"/>
        </w:rPr>
        <w:t>政务服务、政务公开和公共资源交易工作要点》任务分工表</w:t>
      </w:r>
    </w:p>
    <w:tbl>
      <w:tblPr>
        <w:tblStyle w:val="16"/>
        <w:tblpPr w:leftFromText="180" w:rightFromText="180" w:vertAnchor="text" w:horzAnchor="page" w:tblpXSpec="center" w:tblpY="179"/>
        <w:tblOverlap w:val="never"/>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032"/>
        <w:gridCol w:w="1164"/>
        <w:gridCol w:w="5594"/>
        <w:gridCol w:w="1209"/>
        <w:gridCol w:w="288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序号</w:t>
            </w:r>
          </w:p>
        </w:tc>
        <w:tc>
          <w:tcPr>
            <w:tcW w:w="10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重点</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任务</w:t>
            </w: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任务名称</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任务内容</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责任单位</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配合单位</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val="0"/>
                <w:color w:val="auto"/>
                <w:kern w:val="0"/>
                <w:sz w:val="21"/>
                <w:szCs w:val="21"/>
                <w:highlight w:val="none"/>
              </w:rPr>
            </w:pPr>
            <w:r>
              <w:rPr>
                <w:rFonts w:hint="default" w:ascii="Times New Roman" w:hAnsi="Times New Roman" w:eastAsia="仿宋_GB2312" w:cs="Times New Roman"/>
                <w:b/>
                <w:bCs w:val="0"/>
                <w:color w:val="auto"/>
                <w:kern w:val="0"/>
                <w:sz w:val="21"/>
                <w:szCs w:val="21"/>
                <w:highlight w:val="none"/>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1</w:t>
            </w:r>
          </w:p>
        </w:tc>
        <w:tc>
          <w:tcPr>
            <w:tcW w:w="103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楷体_GB2312" w:cs="Times New Roman"/>
                <w:b w:val="0"/>
                <w:bCs/>
                <w:color w:val="auto"/>
                <w:spacing w:val="-11"/>
                <w:kern w:val="0"/>
                <w:sz w:val="21"/>
                <w:szCs w:val="21"/>
                <w:highlight w:val="none"/>
                <w:lang w:bidi="ar-SA"/>
              </w:rPr>
              <w:t>深入推进行政审批改革</w:t>
            </w: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纵向推动服务下沉基层</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推动基层“一枚印章管审批（服务）”改革全面落地，实现基层审批（服务）事项清单要素统一，完善事项办事指南，为企业和个人提供“个性化”主题式、套餐式服务，提升基层政务服务效能。进一步优化镇（街道）审批流程，推动优质政务服务向基层延伸。推动新一批县级政务服务事项</w:t>
            </w:r>
            <w:r>
              <w:rPr>
                <w:rFonts w:hint="default" w:ascii="Times New Roman" w:hAnsi="Times New Roman" w:eastAsia="仿宋_GB2312" w:cs="Times New Roman"/>
                <w:b w:val="0"/>
                <w:bCs/>
                <w:color w:val="auto"/>
                <w:kern w:val="0"/>
                <w:sz w:val="21"/>
                <w:szCs w:val="21"/>
                <w:highlight w:val="none"/>
                <w:lang w:eastAsia="zh-CN"/>
              </w:rPr>
              <w:t>下沉</w:t>
            </w:r>
            <w:r>
              <w:rPr>
                <w:rFonts w:hint="default" w:ascii="Times New Roman" w:hAnsi="Times New Roman" w:eastAsia="仿宋_GB2312" w:cs="Times New Roman"/>
                <w:b w:val="0"/>
                <w:bCs/>
                <w:color w:val="auto"/>
                <w:kern w:val="0"/>
                <w:sz w:val="21"/>
                <w:szCs w:val="21"/>
                <w:highlight w:val="none"/>
              </w:rPr>
              <w:t>到镇（街道）或村（社区）</w:t>
            </w:r>
            <w:r>
              <w:rPr>
                <w:rFonts w:hint="default" w:ascii="Times New Roman" w:hAnsi="Times New Roman" w:eastAsia="仿宋_GB2312" w:cs="Times New Roman"/>
                <w:b w:val="0"/>
                <w:bCs/>
                <w:color w:val="auto"/>
                <w:kern w:val="0"/>
                <w:sz w:val="21"/>
                <w:szCs w:val="21"/>
                <w:highlight w:val="none"/>
                <w:lang w:eastAsia="zh-CN"/>
              </w:rPr>
              <w:t>办理</w:t>
            </w:r>
            <w:r>
              <w:rPr>
                <w:rFonts w:hint="default" w:ascii="Times New Roman" w:hAnsi="Times New Roman" w:eastAsia="仿宋_GB2312" w:cs="Times New Roman"/>
                <w:b w:val="0"/>
                <w:bCs/>
                <w:color w:val="auto"/>
                <w:kern w:val="0"/>
                <w:sz w:val="21"/>
                <w:szCs w:val="21"/>
                <w:highlight w:val="none"/>
              </w:rPr>
              <w:t>，打通服务群众</w:t>
            </w:r>
            <w:r>
              <w:rPr>
                <w:rFonts w:hint="eastAsia" w:cs="Times New Roman"/>
                <w:b w:val="0"/>
                <w:bCs/>
                <w:color w:val="auto"/>
                <w:kern w:val="0"/>
                <w:sz w:val="21"/>
                <w:szCs w:val="21"/>
                <w:highlight w:val="none"/>
                <w:lang w:eastAsia="zh-CN"/>
              </w:rPr>
              <w:t>“最后一公里”</w:t>
            </w:r>
            <w:r>
              <w:rPr>
                <w:rFonts w:hint="default" w:ascii="Times New Roman" w:hAnsi="Times New Roman" w:eastAsia="仿宋_GB2312" w:cs="Times New Roman"/>
                <w:b w:val="0"/>
                <w:bCs/>
                <w:color w:val="auto"/>
                <w:kern w:val="0"/>
                <w:sz w:val="21"/>
                <w:szCs w:val="21"/>
                <w:highlight w:val="none"/>
              </w:rPr>
              <w:t>。</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sz w:val="21"/>
                <w:szCs w:val="21"/>
                <w:highlight w:val="none"/>
                <w:lang w:eastAsia="zh-CN"/>
              </w:rPr>
              <w:t>区政管办</w:t>
            </w:r>
          </w:p>
        </w:tc>
        <w:tc>
          <w:tcPr>
            <w:tcW w:w="288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各镇、街道，各具有依申请政务服务事项的区直、</w:t>
            </w:r>
            <w:r>
              <w:rPr>
                <w:rFonts w:hint="eastAsia" w:cs="Times New Roman"/>
                <w:color w:val="auto"/>
                <w:kern w:val="0"/>
                <w:sz w:val="21"/>
                <w:szCs w:val="21"/>
                <w:highlight w:val="none"/>
                <w:lang w:val="en-US" w:eastAsia="zh-CN" w:bidi="ar"/>
              </w:rPr>
              <w:t>垂直管理部门</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2</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全方位优化政务</w:t>
            </w:r>
            <w:r>
              <w:rPr>
                <w:rFonts w:hint="default" w:ascii="Times New Roman" w:hAnsi="Times New Roman" w:eastAsia="仿宋_GB2312" w:cs="Times New Roman"/>
                <w:b w:val="0"/>
                <w:bCs/>
                <w:color w:val="auto"/>
                <w:sz w:val="21"/>
                <w:szCs w:val="21"/>
                <w:highlight w:val="none"/>
                <w:lang w:eastAsia="zh-CN"/>
              </w:rPr>
              <w:t>服务</w:t>
            </w:r>
            <w:r>
              <w:rPr>
                <w:rFonts w:hint="default" w:ascii="Times New Roman" w:hAnsi="Times New Roman" w:eastAsia="仿宋_GB2312" w:cs="Times New Roman"/>
                <w:b w:val="0"/>
                <w:bCs/>
                <w:color w:val="auto"/>
                <w:sz w:val="21"/>
                <w:szCs w:val="21"/>
                <w:highlight w:val="none"/>
              </w:rPr>
              <w:t>环境</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紧紧围绕企业、个人全生命周期服务需求，持续深化政务服务“全链通办”改革，</w:t>
            </w:r>
            <w:r>
              <w:rPr>
                <w:rFonts w:hint="default" w:ascii="Times New Roman" w:hAnsi="Times New Roman" w:eastAsia="仿宋_GB2312" w:cs="Times New Roman"/>
                <w:b w:val="0"/>
                <w:bCs/>
                <w:color w:val="auto"/>
                <w:sz w:val="21"/>
                <w:szCs w:val="21"/>
                <w:highlight w:val="none"/>
                <w:lang w:bidi="ar-SA"/>
              </w:rPr>
              <w:t>推动企业开办、企业准营、员工招聘等13个主题集成服务套餐，实现“一次登录、一端受理、一表申请、一网通办”。进一步强化部门间合作，持续发挥“微改革”便民利企作用，分类梳理各项措施落实情况，深化提升一批改革举措，新增一批企业群众期盼、推广潜力大的改革措施，全方位优化政务服务环境。</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sz w:val="21"/>
                <w:szCs w:val="21"/>
                <w:highlight w:val="none"/>
                <w:lang w:eastAsia="zh-CN"/>
              </w:rPr>
              <w:t>区政管办</w:t>
            </w:r>
          </w:p>
        </w:tc>
        <w:tc>
          <w:tcPr>
            <w:tcW w:w="288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各具有依申请政务服务事项的区直、</w:t>
            </w:r>
            <w:r>
              <w:rPr>
                <w:rFonts w:hint="eastAsia" w:cs="Times New Roman"/>
                <w:color w:val="auto"/>
                <w:kern w:val="0"/>
                <w:sz w:val="21"/>
                <w:szCs w:val="21"/>
                <w:highlight w:val="none"/>
                <w:lang w:val="en-US" w:eastAsia="zh-CN" w:bidi="ar"/>
              </w:rPr>
              <w:t>垂直管理部门</w:t>
            </w:r>
            <w:r>
              <w:rPr>
                <w:rFonts w:hint="default" w:ascii="Times New Roman" w:hAnsi="Times New Roman" w:eastAsia="仿宋_GB2312" w:cs="Times New Roman"/>
                <w:color w:val="auto"/>
                <w:kern w:val="0"/>
                <w:sz w:val="21"/>
                <w:szCs w:val="21"/>
                <w:highlight w:val="none"/>
                <w:lang w:val="en-US" w:eastAsia="zh-CN" w:bidi="ar"/>
              </w:rPr>
              <w:t>，市自来水有限责任公司，柳州供电局，柳州中燃城市燃气发展有限公司。</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eastAsia="zh-CN"/>
              </w:rPr>
              <w:t>2023年1</w:t>
            </w:r>
            <w:r>
              <w:rPr>
                <w:rFonts w:hint="default" w:ascii="Times New Roman" w:hAnsi="Times New Roman" w:eastAsia="仿宋_GB2312" w:cs="Times New Roman"/>
                <w:b w:val="0"/>
                <w:bCs/>
                <w:color w:val="auto"/>
                <w:kern w:val="0"/>
                <w:sz w:val="21"/>
                <w:szCs w:val="21"/>
                <w:highlight w:val="none"/>
                <w:lang w:val="en-US" w:eastAsia="zh-CN"/>
              </w:rPr>
              <w:t>1</w:t>
            </w:r>
            <w:r>
              <w:rPr>
                <w:rFonts w:hint="default" w:ascii="Times New Roman" w:hAnsi="Times New Roman" w:eastAsia="仿宋_GB2312" w:cs="Times New Roman"/>
                <w:b w:val="0"/>
                <w:bCs/>
                <w:color w:val="auto"/>
                <w:kern w:val="0"/>
                <w:sz w:val="21"/>
                <w:szCs w:val="21"/>
                <w:highlight w:val="none"/>
                <w:lang w:eastAsia="zh-CN"/>
              </w:rPr>
              <w:t>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3</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大力</w:t>
            </w:r>
            <w:r>
              <w:rPr>
                <w:rFonts w:hint="default" w:ascii="Times New Roman" w:hAnsi="Times New Roman" w:eastAsia="仿宋_GB2312" w:cs="Times New Roman"/>
                <w:b w:val="0"/>
                <w:bCs/>
                <w:color w:val="auto"/>
                <w:sz w:val="21"/>
                <w:szCs w:val="21"/>
                <w:highlight w:val="none"/>
              </w:rPr>
              <w:t>推动数字政务发展</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bookmarkStart w:id="0" w:name="_Hlk128931604"/>
            <w:r>
              <w:rPr>
                <w:rFonts w:hint="default" w:ascii="Times New Roman" w:hAnsi="Times New Roman" w:eastAsia="仿宋_GB2312" w:cs="Times New Roman"/>
                <w:b w:val="0"/>
                <w:bCs/>
                <w:color w:val="auto"/>
                <w:kern w:val="0"/>
                <w:sz w:val="21"/>
                <w:szCs w:val="21"/>
                <w:highlight w:val="none"/>
                <w:lang w:eastAsia="zh-CN"/>
              </w:rPr>
              <w:t>依托“龙城市民云”，</w:t>
            </w:r>
            <w:r>
              <w:rPr>
                <w:rFonts w:hint="default" w:ascii="Times New Roman" w:hAnsi="Times New Roman" w:eastAsia="仿宋_GB2312" w:cs="Times New Roman"/>
                <w:b w:val="0"/>
                <w:bCs/>
                <w:color w:val="auto"/>
                <w:sz w:val="21"/>
                <w:szCs w:val="21"/>
                <w:highlight w:val="none"/>
              </w:rPr>
              <w:t>实施“免证办”服务，全面开展证照梳理，积极推动实现审批材料“一次提交，反复利用”，夯实“零材料”办理基础</w:t>
            </w:r>
            <w:bookmarkEnd w:id="0"/>
            <w:r>
              <w:rPr>
                <w:rFonts w:hint="default" w:ascii="Times New Roman" w:hAnsi="Times New Roman" w:eastAsia="仿宋_GB2312" w:cs="Times New Roman"/>
                <w:b w:val="0"/>
                <w:bCs/>
                <w:color w:val="auto"/>
                <w:sz w:val="21"/>
                <w:szCs w:val="21"/>
                <w:highlight w:val="none"/>
              </w:rPr>
              <w:t>，提升群众办事便利度</w:t>
            </w:r>
            <w:r>
              <w:rPr>
                <w:rFonts w:hint="default" w:ascii="Times New Roman" w:hAnsi="Times New Roman" w:eastAsia="仿宋_GB2312" w:cs="Times New Roman"/>
                <w:b w:val="0"/>
                <w:bCs/>
                <w:snapToGrid w:val="0"/>
                <w:color w:val="auto"/>
                <w:sz w:val="21"/>
                <w:szCs w:val="21"/>
                <w:highlight w:val="none"/>
              </w:rPr>
              <w:t>。</w:t>
            </w:r>
            <w:r>
              <w:rPr>
                <w:rFonts w:hint="default" w:ascii="Times New Roman" w:hAnsi="Times New Roman" w:eastAsia="仿宋_GB2312" w:cs="Times New Roman"/>
                <w:b w:val="0"/>
                <w:bCs/>
                <w:color w:val="auto"/>
                <w:sz w:val="21"/>
                <w:szCs w:val="21"/>
                <w:highlight w:val="none"/>
              </w:rPr>
              <w:t>持续提升全市政务服务事项办事材料和电子证照的关联度，不断强化电子证照社会认可度。在自助终端上设置企业和个人专属服务空间，完善“一企一档”“一人一档”，提升智慧化、精准化、个性化服务水平。推动特种作业人员职业资格认定等多个事项全程网办，发放电子证书，群众办事实现“一次不用跑”。拓展更多勘验场景实现线上预约、视频“云勘验”，推动审批服务提速增效。</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eastAsia="zh-CN"/>
              </w:rPr>
              <w:t>区政管办、</w:t>
            </w:r>
            <w:r>
              <w:rPr>
                <w:rFonts w:hint="default" w:ascii="Times New Roman" w:hAnsi="Times New Roman" w:eastAsia="仿宋_GB2312" w:cs="Times New Roman"/>
                <w:b w:val="0"/>
                <w:bCs/>
                <w:color w:val="auto"/>
                <w:sz w:val="21"/>
                <w:szCs w:val="21"/>
                <w:highlight w:val="none"/>
                <w:lang w:val="en-US" w:eastAsia="zh-CN"/>
              </w:rPr>
              <w:t>区网格办</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各具有依申请政务服务事项的区直、</w:t>
            </w:r>
            <w:r>
              <w:rPr>
                <w:rFonts w:hint="eastAsia" w:cs="Times New Roman"/>
                <w:color w:val="auto"/>
                <w:kern w:val="0"/>
                <w:sz w:val="21"/>
                <w:szCs w:val="21"/>
                <w:highlight w:val="none"/>
                <w:lang w:val="en-US" w:eastAsia="zh-CN" w:bidi="ar"/>
              </w:rPr>
              <w:t>垂直管理部门</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Cs/>
                <w:color w:val="auto"/>
                <w:kern w:val="0"/>
                <w:sz w:val="21"/>
                <w:szCs w:val="21"/>
                <w:highlight w:val="none"/>
              </w:rPr>
              <w:t>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4</w:t>
            </w:r>
          </w:p>
        </w:tc>
        <w:tc>
          <w:tcPr>
            <w:tcW w:w="103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楷体_GB2312" w:cs="Times New Roman"/>
                <w:b w:val="0"/>
                <w:bCs/>
                <w:color w:val="auto"/>
                <w:spacing w:val="-11"/>
                <w:kern w:val="0"/>
                <w:sz w:val="21"/>
                <w:szCs w:val="21"/>
                <w:highlight w:val="none"/>
                <w:lang w:bidi="ar-SA"/>
              </w:rPr>
              <w:t>持续提升政务服务效能</w:t>
            </w: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完善标准化政务服务机制</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 xml:space="preserve">编制完善政务服务事项实施清单，推进实施清单相关要素跨地域、跨层级统一，确保各系统各行业实施清单更新、优化。依托“桂通办”平台事项管理系统，统一管理政务服务事项实施清单，实现数据同源、动态更新、联动管理。 </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sz w:val="21"/>
                <w:szCs w:val="21"/>
                <w:highlight w:val="none"/>
                <w:lang w:eastAsia="zh-CN"/>
              </w:rPr>
              <w:t>区政管办</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各镇、街道，各具有依申请政务服务事项的区直、</w:t>
            </w:r>
            <w:r>
              <w:rPr>
                <w:rFonts w:hint="eastAsia" w:cs="Times New Roman"/>
                <w:color w:val="auto"/>
                <w:kern w:val="0"/>
                <w:sz w:val="21"/>
                <w:szCs w:val="21"/>
                <w:highlight w:val="none"/>
                <w:lang w:val="en-US" w:eastAsia="zh-CN" w:bidi="ar"/>
              </w:rPr>
              <w:t>垂直管理部门</w:t>
            </w:r>
            <w:r>
              <w:rPr>
                <w:rFonts w:hint="default" w:ascii="Times New Roman" w:hAnsi="Times New Roman" w:eastAsia="仿宋_GB2312" w:cs="Times New Roman"/>
                <w:color w:val="auto"/>
                <w:kern w:val="0"/>
                <w:sz w:val="21"/>
                <w:szCs w:val="21"/>
                <w:highlight w:val="none"/>
                <w:lang w:val="en-US" w:eastAsia="zh-CN" w:bidi="ar"/>
              </w:rPr>
              <w:t>。</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5</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建构规范化政务服务流程</w:t>
            </w:r>
          </w:p>
        </w:tc>
        <w:tc>
          <w:tcPr>
            <w:tcW w:w="5594"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纵深推进“一窗通办”标准化建设，</w:t>
            </w:r>
            <w:r>
              <w:rPr>
                <w:rFonts w:hint="default" w:ascii="Times New Roman" w:hAnsi="Times New Roman" w:eastAsia="仿宋_GB2312" w:cs="Times New Roman"/>
                <w:b w:val="0"/>
                <w:bCs/>
                <w:color w:val="auto"/>
                <w:spacing w:val="-6"/>
                <w:sz w:val="21"/>
                <w:szCs w:val="21"/>
                <w:highlight w:val="none"/>
              </w:rPr>
              <w:t>打造“智慧化”</w:t>
            </w:r>
            <w:r>
              <w:rPr>
                <w:rFonts w:hint="default" w:ascii="Times New Roman" w:hAnsi="Times New Roman" w:eastAsia="仿宋_GB2312" w:cs="Times New Roman"/>
                <w:b w:val="0"/>
                <w:bCs/>
                <w:color w:val="auto"/>
                <w:spacing w:val="-6"/>
                <w:sz w:val="21"/>
                <w:szCs w:val="21"/>
                <w:highlight w:val="none"/>
                <w:lang w:eastAsia="zh-CN"/>
              </w:rPr>
              <w:t>实体</w:t>
            </w:r>
            <w:r>
              <w:rPr>
                <w:rFonts w:hint="default" w:ascii="Times New Roman" w:hAnsi="Times New Roman" w:eastAsia="仿宋_GB2312" w:cs="Times New Roman"/>
                <w:b w:val="0"/>
                <w:bCs/>
                <w:color w:val="auto"/>
                <w:spacing w:val="-6"/>
                <w:sz w:val="21"/>
                <w:szCs w:val="21"/>
                <w:highlight w:val="none"/>
              </w:rPr>
              <w:t>制证中心，规范整合制证、管证、发证等</w:t>
            </w:r>
            <w:r>
              <w:rPr>
                <w:rFonts w:hint="default" w:ascii="Times New Roman" w:hAnsi="Times New Roman" w:eastAsia="仿宋_GB2312" w:cs="Times New Roman"/>
                <w:b w:val="0"/>
                <w:bCs/>
                <w:color w:val="auto"/>
                <w:spacing w:val="-6"/>
                <w:sz w:val="21"/>
                <w:szCs w:val="21"/>
                <w:highlight w:val="none"/>
                <w:lang w:eastAsia="zh-CN"/>
              </w:rPr>
              <w:t>审批后流程，实现</w:t>
            </w:r>
            <w:r>
              <w:rPr>
                <w:rFonts w:hint="default" w:ascii="Times New Roman" w:hAnsi="Times New Roman" w:eastAsia="仿宋_GB2312" w:cs="Times New Roman"/>
                <w:b w:val="0"/>
                <w:bCs/>
                <w:color w:val="auto"/>
                <w:spacing w:val="-6"/>
                <w:sz w:val="21"/>
                <w:szCs w:val="21"/>
                <w:highlight w:val="none"/>
                <w:lang w:val="en-US" w:eastAsia="zh-CN"/>
              </w:rPr>
              <w:t>24小时人脸认证取证</w:t>
            </w:r>
            <w:r>
              <w:rPr>
                <w:rFonts w:hint="default" w:ascii="Times New Roman" w:hAnsi="Times New Roman" w:eastAsia="仿宋_GB2312" w:cs="Times New Roman"/>
                <w:b w:val="0"/>
                <w:bCs/>
                <w:color w:val="auto"/>
                <w:sz w:val="21"/>
                <w:szCs w:val="21"/>
                <w:highlight w:val="none"/>
              </w:rPr>
              <w:t>。建设线上标准化管理系统，深入梳理政务服务事项，设立事项审查要点、办理流程、材料模板、法律依据等主要模块，形成颗粒化材料库，全面实现审批统一模板、统一标准，推进审批全流程向规范化建设转变。</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eastAsia="zh-CN"/>
              </w:rPr>
              <w:t>区政管办、</w:t>
            </w:r>
            <w:r>
              <w:rPr>
                <w:rFonts w:hint="default" w:ascii="Times New Roman" w:hAnsi="Times New Roman" w:eastAsia="仿宋_GB2312" w:cs="Times New Roman"/>
                <w:b w:val="0"/>
                <w:bCs/>
                <w:color w:val="auto"/>
                <w:sz w:val="21"/>
                <w:szCs w:val="21"/>
                <w:highlight w:val="none"/>
                <w:lang w:val="en-US" w:eastAsia="zh-CN"/>
              </w:rPr>
              <w:t>区财政局</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各镇、街道，各具有依申请政务服务事项的区直、</w:t>
            </w:r>
            <w:r>
              <w:rPr>
                <w:rFonts w:hint="eastAsia" w:cs="Times New Roman"/>
                <w:color w:val="auto"/>
                <w:kern w:val="0"/>
                <w:sz w:val="21"/>
                <w:szCs w:val="21"/>
                <w:highlight w:val="none"/>
                <w:lang w:val="en-US" w:eastAsia="zh-CN" w:bidi="ar"/>
              </w:rPr>
              <w:t>垂直管理部门</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6</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打造便利化政务服务圈</w:t>
            </w:r>
          </w:p>
        </w:tc>
        <w:tc>
          <w:tcPr>
            <w:tcW w:w="5594" w:type="dxa"/>
            <w:vAlign w:val="center"/>
          </w:tcPr>
          <w:p>
            <w:pPr>
              <w:keepNext w:val="0"/>
              <w:keepLines w:val="0"/>
              <w:pageBreakBefore w:val="0"/>
              <w:numPr>
                <w:ilvl w:val="0"/>
                <w:numId w:val="1"/>
              </w:numPr>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深化拓展“全区通办”“全市通办”等“异地通办”模式，进一步扩大事项范围，提升服务效能。</w:t>
            </w:r>
          </w:p>
          <w:p>
            <w:pPr>
              <w:keepNext w:val="0"/>
              <w:keepLines w:val="0"/>
              <w:pageBreakBefore w:val="0"/>
              <w:numPr>
                <w:ilvl w:val="0"/>
                <w:numId w:val="1"/>
              </w:numPr>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加快推进桂黔</w:t>
            </w:r>
            <w:r>
              <w:rPr>
                <w:rFonts w:hint="default" w:ascii="Times New Roman" w:hAnsi="Times New Roman" w:eastAsia="仿宋_GB2312" w:cs="Times New Roman"/>
                <w:b w:val="0"/>
                <w:bCs/>
                <w:color w:val="auto"/>
                <w:sz w:val="21"/>
                <w:szCs w:val="21"/>
                <w:highlight w:val="none"/>
                <w:lang w:eastAsia="zh-CN"/>
              </w:rPr>
              <w:t>全域</w:t>
            </w:r>
            <w:r>
              <w:rPr>
                <w:rFonts w:hint="default" w:ascii="Times New Roman" w:hAnsi="Times New Roman" w:eastAsia="仿宋_GB2312" w:cs="Times New Roman"/>
                <w:b w:val="0"/>
                <w:bCs/>
                <w:color w:val="auto"/>
                <w:sz w:val="21"/>
                <w:szCs w:val="21"/>
                <w:highlight w:val="none"/>
              </w:rPr>
              <w:t>“跨省通办”改革试点工作，</w:t>
            </w:r>
            <w:r>
              <w:rPr>
                <w:rFonts w:hint="default" w:ascii="Times New Roman" w:hAnsi="Times New Roman" w:eastAsia="仿宋_GB2312" w:cs="Times New Roman"/>
                <w:b w:val="0"/>
                <w:bCs/>
                <w:color w:val="auto"/>
                <w:sz w:val="21"/>
                <w:szCs w:val="21"/>
                <w:highlight w:val="none"/>
                <w:lang w:eastAsia="zh-CN"/>
              </w:rPr>
              <w:t>原则上</w:t>
            </w:r>
            <w:r>
              <w:rPr>
                <w:rFonts w:hint="default" w:ascii="Times New Roman" w:hAnsi="Times New Roman" w:eastAsia="仿宋_GB2312" w:cs="Times New Roman"/>
                <w:b w:val="0"/>
                <w:bCs/>
                <w:color w:val="auto"/>
                <w:sz w:val="21"/>
                <w:szCs w:val="21"/>
                <w:highlight w:val="none"/>
                <w:u w:val="none" w:color="auto"/>
              </w:rPr>
              <w:t>负面清单外所有政务服务事项</w:t>
            </w:r>
            <w:r>
              <w:rPr>
                <w:rFonts w:hint="default" w:ascii="Times New Roman" w:hAnsi="Times New Roman" w:eastAsia="仿宋_GB2312" w:cs="Times New Roman"/>
                <w:b w:val="0"/>
                <w:bCs/>
                <w:color w:val="auto"/>
                <w:sz w:val="21"/>
                <w:szCs w:val="21"/>
                <w:highlight w:val="none"/>
                <w:u w:val="none" w:color="auto"/>
                <w:lang w:eastAsia="zh-CN"/>
              </w:rPr>
              <w:t>均</w:t>
            </w:r>
            <w:r>
              <w:rPr>
                <w:rFonts w:hint="default" w:ascii="Times New Roman" w:hAnsi="Times New Roman" w:eastAsia="仿宋_GB2312" w:cs="Times New Roman"/>
                <w:b w:val="0"/>
                <w:bCs/>
                <w:color w:val="auto"/>
                <w:sz w:val="21"/>
                <w:szCs w:val="21"/>
                <w:highlight w:val="none"/>
                <w:u w:val="none" w:color="auto"/>
              </w:rPr>
              <w:t>实现“</w:t>
            </w:r>
            <w:r>
              <w:rPr>
                <w:rFonts w:hint="default" w:ascii="Times New Roman" w:hAnsi="Times New Roman" w:eastAsia="仿宋_GB2312" w:cs="Times New Roman"/>
                <w:b w:val="0"/>
                <w:bCs/>
                <w:color w:val="auto"/>
                <w:sz w:val="21"/>
                <w:szCs w:val="21"/>
                <w:highlight w:val="none"/>
                <w:u w:val="none" w:color="auto"/>
                <w:lang w:eastAsia="zh-CN"/>
              </w:rPr>
              <w:t>跨省通办</w:t>
            </w:r>
            <w:r>
              <w:rPr>
                <w:rFonts w:hint="default" w:ascii="Times New Roman" w:hAnsi="Times New Roman" w:eastAsia="仿宋_GB2312" w:cs="Times New Roman"/>
                <w:b w:val="0"/>
                <w:bCs/>
                <w:color w:val="auto"/>
                <w:sz w:val="21"/>
                <w:szCs w:val="21"/>
                <w:highlight w:val="none"/>
                <w:u w:val="none" w:color="auto"/>
              </w:rPr>
              <w:t>”</w:t>
            </w:r>
            <w:r>
              <w:rPr>
                <w:rFonts w:hint="default" w:ascii="Times New Roman" w:hAnsi="Times New Roman" w:eastAsia="仿宋_GB2312" w:cs="Times New Roman"/>
                <w:b w:val="0"/>
                <w:bCs/>
                <w:color w:val="auto"/>
                <w:sz w:val="21"/>
                <w:szCs w:val="21"/>
                <w:highlight w:val="none"/>
                <w:u w:val="none" w:color="auto"/>
                <w:lang w:eastAsia="zh-CN"/>
              </w:rPr>
              <w:t>，</w:t>
            </w:r>
            <w:r>
              <w:rPr>
                <w:rFonts w:hint="default" w:ascii="Times New Roman" w:hAnsi="Times New Roman" w:eastAsia="仿宋_GB2312" w:cs="Times New Roman"/>
                <w:b w:val="0"/>
                <w:bCs/>
                <w:color w:val="auto"/>
                <w:sz w:val="21"/>
                <w:szCs w:val="21"/>
                <w:highlight w:val="none"/>
                <w:u w:val="none" w:color="auto"/>
              </w:rPr>
              <w:t>扩展社保、医保、公安等领域</w:t>
            </w:r>
            <w:r>
              <w:rPr>
                <w:rFonts w:hint="default" w:ascii="Times New Roman" w:hAnsi="Times New Roman" w:eastAsia="仿宋_GB2312" w:cs="Times New Roman"/>
                <w:b w:val="0"/>
                <w:bCs/>
                <w:color w:val="auto"/>
                <w:sz w:val="21"/>
                <w:szCs w:val="21"/>
                <w:highlight w:val="none"/>
                <w:u w:val="none" w:color="auto"/>
                <w:lang w:eastAsia="zh-CN"/>
              </w:rPr>
              <w:t>通办</w:t>
            </w:r>
            <w:r>
              <w:rPr>
                <w:rFonts w:hint="default" w:ascii="Times New Roman" w:hAnsi="Times New Roman" w:eastAsia="仿宋_GB2312" w:cs="Times New Roman"/>
                <w:b w:val="0"/>
                <w:bCs/>
                <w:color w:val="auto"/>
                <w:sz w:val="21"/>
                <w:szCs w:val="21"/>
                <w:highlight w:val="none"/>
                <w:u w:val="none" w:color="auto"/>
              </w:rPr>
              <w:t>范围，</w:t>
            </w:r>
            <w:r>
              <w:rPr>
                <w:rFonts w:hint="default" w:ascii="Times New Roman" w:hAnsi="Times New Roman" w:eastAsia="仿宋_GB2312" w:cs="Times New Roman"/>
                <w:b w:val="0"/>
                <w:bCs/>
                <w:color w:val="auto"/>
                <w:sz w:val="21"/>
                <w:szCs w:val="21"/>
                <w:highlight w:val="none"/>
                <w:u w:val="none" w:color="auto"/>
                <w:lang w:eastAsia="zh-CN"/>
              </w:rPr>
              <w:t>确保</w:t>
            </w:r>
            <w:r>
              <w:rPr>
                <w:rFonts w:hint="default" w:ascii="Times New Roman" w:hAnsi="Times New Roman" w:eastAsia="仿宋_GB2312" w:cs="Times New Roman"/>
                <w:b w:val="0"/>
                <w:bCs/>
                <w:color w:val="auto"/>
                <w:sz w:val="21"/>
                <w:szCs w:val="21"/>
                <w:highlight w:val="none"/>
                <w:u w:val="none" w:color="auto"/>
              </w:rPr>
              <w:t>更多政务服务“就近办、家门口办”。</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u w:val="none" w:color="auto"/>
                <w:lang w:val="en-US" w:eastAsia="zh-CN"/>
              </w:rPr>
              <w:t>3.逐步深化、拓宽“水电气”报装外线接入工程“集成办”的范围，最大限度的精简材料、提高效率。</w:t>
            </w:r>
          </w:p>
        </w:tc>
        <w:tc>
          <w:tcPr>
            <w:tcW w:w="120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1.</w:t>
            </w:r>
            <w:r>
              <w:rPr>
                <w:rFonts w:hint="default" w:ascii="Times New Roman" w:hAnsi="Times New Roman" w:eastAsia="仿宋_GB2312" w:cs="Times New Roman"/>
                <w:b w:val="0"/>
                <w:bCs/>
                <w:color w:val="auto"/>
                <w:sz w:val="21"/>
                <w:szCs w:val="21"/>
                <w:highlight w:val="none"/>
                <w:lang w:eastAsia="zh-CN"/>
              </w:rPr>
              <w:t>区政管办</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2.</w:t>
            </w:r>
            <w:r>
              <w:rPr>
                <w:rFonts w:hint="default" w:ascii="Times New Roman" w:hAnsi="Times New Roman" w:eastAsia="仿宋_GB2312" w:cs="Times New Roman"/>
                <w:b w:val="0"/>
                <w:bCs/>
                <w:color w:val="auto"/>
                <w:sz w:val="21"/>
                <w:szCs w:val="21"/>
                <w:highlight w:val="none"/>
                <w:lang w:eastAsia="zh-CN"/>
              </w:rPr>
              <w:t>区政管办</w:t>
            </w:r>
            <w:r>
              <w:rPr>
                <w:rFonts w:hint="default" w:ascii="Times New Roman" w:hAnsi="Times New Roman" w:eastAsia="仿宋_GB2312" w:cs="Times New Roman"/>
                <w:color w:val="auto"/>
                <w:kern w:val="0"/>
                <w:sz w:val="21"/>
                <w:szCs w:val="2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3.</w:t>
            </w:r>
            <w:r>
              <w:rPr>
                <w:rFonts w:hint="default" w:ascii="Times New Roman" w:hAnsi="Times New Roman" w:eastAsia="仿宋_GB2312" w:cs="Times New Roman"/>
                <w:b w:val="0"/>
                <w:bCs/>
                <w:color w:val="auto"/>
                <w:sz w:val="21"/>
                <w:szCs w:val="21"/>
                <w:highlight w:val="none"/>
                <w:lang w:val="en-US" w:eastAsia="zh-CN"/>
              </w:rPr>
              <w:t>区住房和城乡建设局</w:t>
            </w:r>
          </w:p>
        </w:tc>
        <w:tc>
          <w:tcPr>
            <w:tcW w:w="288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1.各镇、街道，各具有依申请政务服务事项的区直、</w:t>
            </w:r>
            <w:r>
              <w:rPr>
                <w:rFonts w:hint="eastAsia" w:cs="Times New Roman"/>
                <w:color w:val="auto"/>
                <w:kern w:val="0"/>
                <w:sz w:val="21"/>
                <w:szCs w:val="21"/>
                <w:highlight w:val="none"/>
                <w:lang w:val="en-US" w:eastAsia="zh-CN" w:bidi="ar"/>
              </w:rPr>
              <w:t>垂直管理部门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2.各镇、街道，各具有依申请政务服务事项的区直、</w:t>
            </w:r>
            <w:r>
              <w:rPr>
                <w:rFonts w:hint="eastAsia" w:cs="Times New Roman"/>
                <w:color w:val="auto"/>
                <w:kern w:val="0"/>
                <w:sz w:val="21"/>
                <w:szCs w:val="21"/>
                <w:highlight w:val="none"/>
                <w:lang w:val="en-US" w:eastAsia="zh-CN" w:bidi="ar"/>
              </w:rPr>
              <w:t>垂直管理部门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3.区自然资源局，鱼峰区交警大队，区城管执法局</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rPr>
              <w:t>7</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u w:val="none" w:color="auto"/>
              </w:rPr>
              <w:t>建设</w:t>
            </w:r>
            <w:r>
              <w:rPr>
                <w:rFonts w:hint="default" w:ascii="Times New Roman" w:hAnsi="Times New Roman" w:eastAsia="仿宋_GB2312" w:cs="Times New Roman"/>
                <w:b w:val="0"/>
                <w:bCs/>
                <w:color w:val="auto"/>
                <w:sz w:val="21"/>
                <w:szCs w:val="21"/>
                <w:highlight w:val="none"/>
                <w:u w:val="none" w:color="auto"/>
                <w:lang w:eastAsia="zh-CN"/>
              </w:rPr>
              <w:t>示范性政务</w:t>
            </w:r>
            <w:r>
              <w:rPr>
                <w:rFonts w:hint="default" w:ascii="Times New Roman" w:hAnsi="Times New Roman" w:eastAsia="仿宋_GB2312" w:cs="Times New Roman"/>
                <w:b w:val="0"/>
                <w:bCs/>
                <w:color w:val="auto"/>
                <w:sz w:val="21"/>
                <w:szCs w:val="21"/>
                <w:highlight w:val="none"/>
                <w:u w:val="none" w:color="auto"/>
              </w:rPr>
              <w:t>服务</w:t>
            </w:r>
            <w:r>
              <w:rPr>
                <w:rFonts w:hint="default" w:ascii="Times New Roman" w:hAnsi="Times New Roman" w:eastAsia="仿宋_GB2312" w:cs="Times New Roman"/>
                <w:b w:val="0"/>
                <w:bCs/>
                <w:color w:val="auto"/>
                <w:sz w:val="21"/>
                <w:szCs w:val="21"/>
                <w:highlight w:val="none"/>
                <w:u w:val="none" w:color="auto"/>
                <w:lang w:eastAsia="zh-CN"/>
              </w:rPr>
              <w:t>体系</w:t>
            </w:r>
          </w:p>
        </w:tc>
        <w:tc>
          <w:tcPr>
            <w:tcW w:w="5594" w:type="dxa"/>
            <w:vAlign w:val="center"/>
          </w:tcPr>
          <w:p>
            <w:pPr>
              <w:keepNext w:val="0"/>
              <w:keepLines w:val="0"/>
              <w:pageBreakBefore w:val="0"/>
              <w:numPr>
                <w:ilvl w:val="0"/>
                <w:numId w:val="2"/>
              </w:numPr>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sz w:val="21"/>
                <w:szCs w:val="21"/>
                <w:highlight w:val="none"/>
                <w:u w:val="none" w:color="auto"/>
              </w:rPr>
            </w:pPr>
            <w:r>
              <w:rPr>
                <w:rFonts w:hint="default" w:ascii="Times New Roman" w:hAnsi="Times New Roman" w:eastAsia="仿宋_GB2312" w:cs="Times New Roman"/>
                <w:b w:val="0"/>
                <w:bCs/>
                <w:color w:val="auto"/>
                <w:sz w:val="21"/>
                <w:szCs w:val="21"/>
                <w:highlight w:val="none"/>
                <w:u w:val="none" w:color="auto"/>
              </w:rPr>
              <w:t>加强各级政务服务中心（分中心）建设，</w:t>
            </w:r>
            <w:r>
              <w:rPr>
                <w:rFonts w:hint="default" w:ascii="Times New Roman" w:hAnsi="Times New Roman" w:eastAsia="仿宋_GB2312" w:cs="Times New Roman"/>
                <w:b w:val="0"/>
                <w:bCs/>
                <w:color w:val="auto"/>
                <w:kern w:val="0"/>
                <w:sz w:val="21"/>
                <w:szCs w:val="21"/>
                <w:highlight w:val="none"/>
                <w:u w:val="none" w:color="auto"/>
              </w:rPr>
              <w:t>围绕政务服务模式丰富、举措创新、流程优化等方面</w:t>
            </w:r>
            <w:r>
              <w:rPr>
                <w:rFonts w:hint="default" w:ascii="Times New Roman" w:hAnsi="Times New Roman" w:eastAsia="仿宋_GB2312" w:cs="Times New Roman"/>
                <w:b w:val="0"/>
                <w:bCs/>
                <w:color w:val="auto"/>
                <w:sz w:val="21"/>
                <w:szCs w:val="21"/>
                <w:highlight w:val="none"/>
                <w:u w:val="none" w:color="auto"/>
              </w:rPr>
              <w:t>，推动各级政务服务大厅提高管理水平，为企业群众打造标准、规范、便利的服务示范中心（分中心）。</w:t>
            </w:r>
          </w:p>
          <w:p>
            <w:pPr>
              <w:keepNext w:val="0"/>
              <w:keepLines w:val="0"/>
              <w:pageBreakBefore w:val="0"/>
              <w:numPr>
                <w:ilvl w:val="0"/>
                <w:numId w:val="2"/>
              </w:numPr>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u w:val="none" w:color="auto"/>
              </w:rPr>
              <w:t>持续推行“五时六查”，健全巡查内容规范、巡查结果报备、巡查问题整改的督查体系</w:t>
            </w:r>
            <w:r>
              <w:rPr>
                <w:rFonts w:hint="default" w:ascii="Times New Roman" w:hAnsi="Times New Roman" w:eastAsia="仿宋_GB2312" w:cs="Times New Roman"/>
                <w:b w:val="0"/>
                <w:bCs/>
                <w:color w:val="auto"/>
                <w:sz w:val="21"/>
                <w:szCs w:val="21"/>
                <w:highlight w:val="none"/>
              </w:rPr>
              <w:t>，开展“争创红旗窗口、争当服务之星”活动</w:t>
            </w:r>
            <w:r>
              <w:rPr>
                <w:rFonts w:hint="default" w:ascii="Times New Roman" w:hAnsi="Times New Roman" w:eastAsia="仿宋_GB2312" w:cs="Times New Roman"/>
                <w:b w:val="0"/>
                <w:bCs/>
                <w:color w:val="auto"/>
                <w:sz w:val="21"/>
                <w:szCs w:val="21"/>
                <w:highlight w:val="none"/>
                <w:lang w:eastAsia="zh-CN"/>
              </w:rPr>
              <w:t>，全面营造争先创优的氛围</w:t>
            </w:r>
            <w:r>
              <w:rPr>
                <w:rFonts w:hint="default" w:ascii="Times New Roman" w:hAnsi="Times New Roman" w:eastAsia="仿宋_GB2312" w:cs="Times New Roman"/>
                <w:b w:val="0"/>
                <w:bCs/>
                <w:color w:val="auto"/>
                <w:sz w:val="21"/>
                <w:szCs w:val="21"/>
                <w:highlight w:val="none"/>
                <w:u w:val="none" w:color="auto"/>
              </w:rPr>
              <w:t>。</w:t>
            </w:r>
            <w:r>
              <w:rPr>
                <w:rFonts w:hint="default" w:ascii="Times New Roman" w:hAnsi="Times New Roman" w:eastAsia="仿宋_GB2312" w:cs="Times New Roman"/>
                <w:b w:val="0"/>
                <w:bCs/>
                <w:color w:val="auto"/>
                <w:kern w:val="0"/>
                <w:sz w:val="21"/>
                <w:szCs w:val="21"/>
                <w:highlight w:val="none"/>
                <w:u w:val="none" w:color="auto"/>
              </w:rPr>
              <w:t>常态化开展“政务服务体验员</w:t>
            </w:r>
            <w:r>
              <w:rPr>
                <w:rFonts w:hint="default" w:ascii="Times New Roman" w:hAnsi="Times New Roman" w:eastAsia="仿宋_GB2312" w:cs="Times New Roman"/>
                <w:b w:val="0"/>
                <w:bCs/>
                <w:color w:val="auto"/>
                <w:kern w:val="0"/>
                <w:sz w:val="21"/>
                <w:szCs w:val="21"/>
                <w:highlight w:val="none"/>
              </w:rPr>
              <w:t>”活动，建立长期办事体验交互机制</w:t>
            </w:r>
            <w:r>
              <w:rPr>
                <w:rFonts w:hint="default" w:ascii="Times New Roman" w:hAnsi="Times New Roman" w:eastAsia="仿宋_GB2312" w:cs="Times New Roman"/>
                <w:b w:val="0"/>
                <w:bCs/>
                <w:color w:val="auto"/>
                <w:sz w:val="21"/>
                <w:szCs w:val="21"/>
                <w:highlight w:val="none"/>
              </w:rPr>
              <w:t>。在各级政务服务中心、镇（街道）、社区（村）持续开展“好差评”，引导服务对象使用自治区政务服务“好差评”系统、广西政务APP，全面分析评价数据，及时开展办件回访</w:t>
            </w:r>
            <w:r>
              <w:rPr>
                <w:rFonts w:hint="default" w:ascii="Times New Roman" w:hAnsi="Times New Roman" w:eastAsia="仿宋_GB2312" w:cs="Times New Roman"/>
                <w:b w:val="0"/>
                <w:bCs/>
                <w:color w:val="auto"/>
                <w:kern w:val="0"/>
                <w:sz w:val="21"/>
                <w:szCs w:val="21"/>
                <w:highlight w:val="none"/>
              </w:rPr>
              <w:t>，实现以</w:t>
            </w:r>
            <w:r>
              <w:rPr>
                <w:rFonts w:hint="default" w:ascii="Times New Roman" w:hAnsi="Times New Roman" w:eastAsia="仿宋_GB2312" w:cs="Times New Roman"/>
                <w:b w:val="0"/>
                <w:bCs/>
                <w:color w:val="auto"/>
                <w:sz w:val="21"/>
                <w:szCs w:val="21"/>
                <w:highlight w:val="none"/>
              </w:rPr>
              <w:t>评促改、以改促进。</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eastAsia="zh-CN"/>
              </w:rPr>
              <w:t>区政管办</w:t>
            </w:r>
          </w:p>
        </w:tc>
        <w:tc>
          <w:tcPr>
            <w:tcW w:w="288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1.各镇、街道， 各具有依申请政务服务事项的区直部门，市医疗保障局，区政务服务中心各分中心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2.各镇、街道，区政务服务中心各进驻单位，区政务服务中心各分中心</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color w:val="auto"/>
                <w:sz w:val="21"/>
                <w:szCs w:val="21"/>
                <w:highlight w:val="none"/>
                <w:lang w:val="en-US" w:eastAsia="zh-CN"/>
              </w:rPr>
            </w:pP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1.2023年12月31日前</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2.持续推进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8</w:t>
            </w:r>
          </w:p>
        </w:tc>
        <w:tc>
          <w:tcPr>
            <w:tcW w:w="103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楷体_GB2312" w:cs="Times New Roman"/>
                <w:b w:val="0"/>
                <w:bCs/>
                <w:color w:val="auto"/>
                <w:spacing w:val="-11"/>
                <w:kern w:val="0"/>
                <w:sz w:val="21"/>
                <w:szCs w:val="21"/>
                <w:highlight w:val="none"/>
                <w:lang w:bidi="ar-SA"/>
              </w:rPr>
              <w:t>全力畅通项目审批精准服务通道</w:t>
            </w: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shd w:val="clear" w:color="auto" w:fill="FFFFFF"/>
              </w:rPr>
              <w:t>启动</w:t>
            </w:r>
            <w:r>
              <w:rPr>
                <w:rFonts w:hint="default" w:ascii="Times New Roman" w:hAnsi="Times New Roman" w:eastAsia="仿宋_GB2312" w:cs="Times New Roman"/>
                <w:b w:val="0"/>
                <w:bCs/>
                <w:color w:val="auto"/>
                <w:sz w:val="21"/>
                <w:szCs w:val="21"/>
                <w:highlight w:val="none"/>
              </w:rPr>
              <w:t>上汽通用五菱“一二五”工程专项审批服务</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构建“一二五”工程项目审批协同联动体系，落实工程配套综合服务与个性化服务。开辟工程绿色通道，推动新能源汽车五大产业集群事项集成式办理；持续深化“三送服务”“帮办代办”等模式，以靠前审批服务推进工程实施。缩减“一二五”工程企业登记办事流程，放宽企业登记限制条件，助力项目施工提前落地。推进符合要求的项目审批减时限、减材料、免审查、全网办，为重大工程项目建设提供支撑和服务。</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sz w:val="21"/>
                <w:szCs w:val="21"/>
                <w:highlight w:val="none"/>
                <w:lang w:eastAsia="zh-CN"/>
              </w:rPr>
              <w:t>区政管办</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各具有依申请政务服务事项的区直、</w:t>
            </w:r>
            <w:r>
              <w:rPr>
                <w:rFonts w:hint="eastAsia" w:cs="Times New Roman"/>
                <w:color w:val="auto"/>
                <w:kern w:val="0"/>
                <w:sz w:val="21"/>
                <w:szCs w:val="21"/>
                <w:highlight w:val="none"/>
                <w:lang w:val="en-US" w:eastAsia="zh-CN" w:bidi="ar"/>
              </w:rPr>
              <w:t>垂直管理部门</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9</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便利市场主体准入准营</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分批次推动更多市场主体增长较快、与人民群众生活关系密切、有利于促进高质量发展的行业实施“一业一证”改革，助力解决市场主体准入不准营问题。拓宽“一证多址”改革审批事项试点范围，加强与需求企业对接指导服务，进一步探索“一证多址”结合承诺制审批方式，对复制了主体业态、经营项目等模式的分店实现“秒批”开店，便利企业快速发展运营</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u w:val="none" w:color="auto"/>
                <w:lang w:eastAsia="zh-CN"/>
              </w:rPr>
              <w:t>推动</w:t>
            </w:r>
            <w:r>
              <w:rPr>
                <w:rFonts w:hint="default" w:ascii="Times New Roman" w:hAnsi="Times New Roman" w:eastAsia="仿宋_GB2312" w:cs="Times New Roman"/>
                <w:b w:val="0"/>
                <w:bCs/>
                <w:color w:val="auto"/>
                <w:kern w:val="0"/>
                <w:sz w:val="21"/>
                <w:szCs w:val="21"/>
                <w:highlight w:val="none"/>
              </w:rPr>
              <w:t>降低市场主体制度性交易成本</w:t>
            </w:r>
            <w:r>
              <w:rPr>
                <w:rFonts w:hint="default" w:ascii="Times New Roman" w:hAnsi="Times New Roman" w:eastAsia="仿宋_GB2312" w:cs="Times New Roman"/>
                <w:b w:val="0"/>
                <w:bCs/>
                <w:color w:val="auto"/>
                <w:sz w:val="21"/>
                <w:szCs w:val="21"/>
                <w:highlight w:val="none"/>
                <w:u w:val="none" w:color="auto"/>
                <w:lang w:eastAsia="zh-CN"/>
              </w:rPr>
              <w:t>，健全排查清理市场准入限制的显性和隐性壁垒长效机制，完善破除所有制歧视、地方保护等不合理限制工作机制，持续优化营商环境</w:t>
            </w:r>
            <w:r>
              <w:rPr>
                <w:rFonts w:hint="default" w:ascii="Times New Roman" w:hAnsi="Times New Roman" w:eastAsia="仿宋_GB2312" w:cs="Times New Roman"/>
                <w:b w:val="0"/>
                <w:bCs/>
                <w:color w:val="auto"/>
                <w:sz w:val="21"/>
                <w:szCs w:val="21"/>
                <w:highlight w:val="none"/>
                <w:u w:val="none" w:color="auto"/>
              </w:rPr>
              <w:t>。</w:t>
            </w:r>
            <w:r>
              <w:rPr>
                <w:rFonts w:hint="default" w:ascii="Times New Roman" w:hAnsi="Times New Roman" w:eastAsia="仿宋_GB2312" w:cs="Times New Roman"/>
                <w:b w:val="0"/>
                <w:bCs/>
                <w:color w:val="auto"/>
                <w:kern w:val="0"/>
                <w:sz w:val="21"/>
                <w:szCs w:val="21"/>
                <w:highlight w:val="none"/>
              </w:rPr>
              <w:t xml:space="preserve"> </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eastAsia="zh-CN"/>
              </w:rPr>
            </w:pPr>
            <w:r>
              <w:rPr>
                <w:rFonts w:hint="default" w:ascii="Times New Roman" w:hAnsi="Times New Roman" w:eastAsia="仿宋_GB2312" w:cs="Times New Roman"/>
                <w:b w:val="0"/>
                <w:bCs/>
                <w:color w:val="auto"/>
                <w:sz w:val="21"/>
                <w:szCs w:val="21"/>
                <w:highlight w:val="none"/>
                <w:lang w:eastAsia="zh-CN"/>
              </w:rPr>
              <w:t>区政管办</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区市场监督管理局，各具有依申请政务服务事项的区直、</w:t>
            </w:r>
            <w:r>
              <w:rPr>
                <w:rFonts w:hint="eastAsia" w:cs="Times New Roman"/>
                <w:color w:val="auto"/>
                <w:kern w:val="0"/>
                <w:sz w:val="21"/>
                <w:szCs w:val="21"/>
                <w:highlight w:val="none"/>
                <w:lang w:val="en-US" w:eastAsia="zh-CN" w:bidi="ar"/>
              </w:rPr>
              <w:t>垂直管理部门</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10</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深入推广“一证开工”改革</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持续推进工程建设项目“一证开工”改革，对所有工程建设项目类型实行施工许可告知承诺制</w:t>
            </w:r>
            <w:r>
              <w:rPr>
                <w:rFonts w:hint="default" w:ascii="Times New Roman" w:hAnsi="Times New Roman" w:eastAsia="仿宋_GB2312" w:cs="Times New Roman"/>
                <w:b w:val="0"/>
                <w:bCs/>
                <w:color w:val="auto"/>
                <w:sz w:val="21"/>
                <w:szCs w:val="21"/>
                <w:highlight w:val="none"/>
                <w:lang w:eastAsia="zh-CN"/>
              </w:rPr>
              <w:t>。</w:t>
            </w:r>
            <w:r>
              <w:rPr>
                <w:rFonts w:hint="default" w:ascii="Times New Roman" w:hAnsi="Times New Roman" w:eastAsia="仿宋_GB2312" w:cs="Times New Roman"/>
                <w:b w:val="0"/>
                <w:bCs/>
                <w:color w:val="auto"/>
                <w:sz w:val="21"/>
                <w:szCs w:val="21"/>
                <w:highlight w:val="none"/>
              </w:rPr>
              <w:t>扩大并联审批范围，优化并联审批程序，为投资企业搭建咨询、审批、服务为一体的服务平台，进一步做好重点工程、招商引资等重大项目的审批服务工作，促进工程建设项目早开工、早投产、早达效。</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区住房和城乡建设局</w:t>
            </w:r>
          </w:p>
        </w:tc>
        <w:tc>
          <w:tcPr>
            <w:tcW w:w="288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区自然资源局、区城管执法局</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11</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加快推进投资项目“拿地即批”</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聚焦社会投资项目水土保持领域，在土地供应前，对已具有控制性详细规划或具体项目可行性研究报告的相应地块，由依法设立的工业园区和其他有条件的区域提前开展水土保持评估，形成评估结果，出具《水土保持方案报告行政许可决定书》，在土地供应时一并交付用地单位，加快项目建设落地投产。</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sz w:val="21"/>
                <w:szCs w:val="21"/>
                <w:highlight w:val="none"/>
                <w:lang w:val="en-US" w:eastAsia="zh-CN"/>
              </w:rPr>
              <w:t>区农业农村局</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区政管办、</w:t>
            </w:r>
            <w:r>
              <w:rPr>
                <w:rFonts w:hint="eastAsia" w:cs="Times New Roman"/>
                <w:b w:val="0"/>
                <w:bCs/>
                <w:color w:val="auto"/>
                <w:kern w:val="0"/>
                <w:sz w:val="21"/>
                <w:szCs w:val="21"/>
                <w:highlight w:val="none"/>
                <w:lang w:val="en-US" w:eastAsia="zh-CN"/>
              </w:rPr>
              <w:t>工业</w:t>
            </w:r>
            <w:r>
              <w:rPr>
                <w:rFonts w:hint="default" w:ascii="Times New Roman" w:hAnsi="Times New Roman" w:eastAsia="仿宋_GB2312" w:cs="Times New Roman"/>
                <w:b w:val="0"/>
                <w:bCs/>
                <w:color w:val="auto"/>
                <w:kern w:val="0"/>
                <w:sz w:val="21"/>
                <w:szCs w:val="21"/>
                <w:highlight w:val="none"/>
                <w:lang w:val="en-US" w:eastAsia="zh-CN"/>
              </w:rPr>
              <w:t>园区管委会</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12</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推行大件运输“一证通行”</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rPr>
              <w:t>建立主动服务对接机制，梳理明确审批部门与监管部门的权责边界，建立多部门联动快速审批通道，确保部门间“事前认定、事中审批、事后监管”的高效协调联动，实现大件运输从起始地至目的地的“一证通行”，为重大项目建设提供支撑和保障。</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区</w:t>
            </w:r>
            <w:r>
              <w:rPr>
                <w:rFonts w:hint="default" w:ascii="Times New Roman" w:hAnsi="Times New Roman" w:eastAsia="仿宋_GB2312" w:cs="Times New Roman"/>
                <w:b w:val="0"/>
                <w:bCs/>
                <w:color w:val="auto"/>
                <w:kern w:val="0"/>
                <w:sz w:val="21"/>
                <w:szCs w:val="21"/>
                <w:highlight w:val="none"/>
                <w:lang w:eastAsia="zh-CN"/>
              </w:rPr>
              <w:t>交通运输局</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区政管办</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13</w:t>
            </w:r>
          </w:p>
        </w:tc>
        <w:tc>
          <w:tcPr>
            <w:tcW w:w="1032"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楷体_GB2312" w:cs="Times New Roman"/>
                <w:b w:val="0"/>
                <w:bCs/>
                <w:color w:val="auto"/>
                <w:spacing w:val="-11"/>
                <w:kern w:val="0"/>
                <w:sz w:val="21"/>
                <w:szCs w:val="21"/>
                <w:highlight w:val="none"/>
                <w:lang w:val="zh-CN" w:bidi="ar-SA"/>
              </w:rPr>
              <w:t>聚焦公开透明，打造便捷优质服务平台</w:t>
            </w: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t>法定主动公开事项公开到位，深化政务公开工作</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t>推进我区各级各部门规章、规范性文件等政府信息集中统一公开，实现“一栏通查”。探索推进交通运输、旅游等新领域基层政务公开目录的编制，将基层政务公开标准化规范化向农村和社区延伸。推进区政务公开专区建设，将专区打造成各类文件信息解读、互动的“会客厅”。推动法定公开事项公开到位，法定不公开事项保护到位，准确把握不同类型公开要求，科学合理确定公开方式。</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区</w:t>
            </w:r>
            <w:r>
              <w:rPr>
                <w:rFonts w:hint="default" w:ascii="Times New Roman" w:hAnsi="Times New Roman" w:eastAsia="仿宋_GB2312" w:cs="Times New Roman"/>
                <w:b w:val="0"/>
                <w:bCs/>
                <w:color w:val="auto"/>
                <w:kern w:val="0"/>
                <w:sz w:val="21"/>
                <w:szCs w:val="21"/>
                <w:highlight w:val="none"/>
                <w:lang w:eastAsia="zh-CN"/>
              </w:rPr>
              <w:t>政管办</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lang w:val="en-US"/>
              </w:rPr>
            </w:pPr>
            <w:r>
              <w:rPr>
                <w:rFonts w:hint="default" w:ascii="Times New Roman" w:hAnsi="Times New Roman" w:eastAsia="仿宋_GB2312" w:cs="Times New Roman"/>
                <w:b w:val="0"/>
                <w:bCs/>
                <w:color w:val="auto"/>
                <w:kern w:val="0"/>
                <w:sz w:val="21"/>
                <w:szCs w:val="21"/>
                <w:highlight w:val="none"/>
                <w:lang w:val="en-US" w:eastAsia="zh-CN"/>
              </w:rPr>
              <w:t>各镇、街道，区各政府工作部门</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14</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t>精准提升政策解读效能，助力政策落地执行</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t>重点推进涉及鱼峰工业高质量发展、重大项目和各类行政规范性文件解读工作。推动文件发布与文件解读材料同步组织、同步审签、同步发布。采取“面对面”交流方式，用好用活“政策说明会”，聚焦教育、就业、医疗、社会保障和税收优惠等与公众密切相关领域，侧重解读出台背景、出台目的和实质性举措，推动“单项解读”向“互动交流”延伸。</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区政府办、</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区</w:t>
            </w:r>
            <w:r>
              <w:rPr>
                <w:rFonts w:hint="default" w:ascii="Times New Roman" w:hAnsi="Times New Roman" w:eastAsia="仿宋_GB2312" w:cs="Times New Roman"/>
                <w:b w:val="0"/>
                <w:bCs/>
                <w:color w:val="auto"/>
                <w:kern w:val="0"/>
                <w:sz w:val="21"/>
                <w:szCs w:val="21"/>
                <w:highlight w:val="none"/>
                <w:lang w:eastAsia="zh-CN"/>
              </w:rPr>
              <w:t>政管办</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区各政府工作部门</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lang w:val="en-US" w:eastAsia="zh-CN"/>
              </w:rPr>
              <w:t>15</w:t>
            </w:r>
          </w:p>
        </w:tc>
        <w:tc>
          <w:tcPr>
            <w:tcW w:w="1032" w:type="dxa"/>
            <w:vMerge w:val="continue"/>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pPr>
            <w:r>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t>以公众需求为导向，切实提升政府信息公开实效</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t>依托政府网站第一平台，拓宽政府信息公开在线申办覆盖面。探索建立政府信息公开与司法审判案例的联动机制、强化部门间互动</w:t>
            </w:r>
            <w:r>
              <w:rPr>
                <w:rFonts w:hint="eastAsia" w:cs="Times New Roman"/>
                <w:b w:val="0"/>
                <w:bCs/>
                <w:i w:val="0"/>
                <w:caps w:val="0"/>
                <w:color w:val="auto"/>
                <w:spacing w:val="0"/>
                <w:kern w:val="0"/>
                <w:sz w:val="21"/>
                <w:szCs w:val="21"/>
                <w:highlight w:val="none"/>
                <w:shd w:val="clear" w:color="auto" w:fill="FFFFFF"/>
                <w:lang w:val="en-US" w:eastAsia="zh-CN"/>
              </w:rPr>
              <w:t>协商会议</w:t>
            </w:r>
            <w:r>
              <w:rPr>
                <w:rFonts w:hint="default" w:ascii="Times New Roman" w:hAnsi="Times New Roman" w:eastAsia="仿宋_GB2312" w:cs="Times New Roman"/>
                <w:b w:val="0"/>
                <w:bCs/>
                <w:i w:val="0"/>
                <w:caps w:val="0"/>
                <w:color w:val="auto"/>
                <w:spacing w:val="0"/>
                <w:kern w:val="0"/>
                <w:sz w:val="21"/>
                <w:szCs w:val="21"/>
                <w:highlight w:val="none"/>
                <w:shd w:val="clear" w:color="auto" w:fill="FFFFFF"/>
                <w:lang w:val="en-US" w:eastAsia="zh-CN"/>
              </w:rPr>
              <w:t>机制，推进以案例精准指引公开作用，以协同沟通保障公众在各领域的知情权。做到在法定时限内100%依法答复政府信息公开申请。</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区</w:t>
            </w:r>
            <w:r>
              <w:rPr>
                <w:rFonts w:hint="default" w:ascii="Times New Roman" w:hAnsi="Times New Roman" w:eastAsia="仿宋_GB2312" w:cs="Times New Roman"/>
                <w:b w:val="0"/>
                <w:bCs/>
                <w:color w:val="auto"/>
                <w:kern w:val="0"/>
                <w:sz w:val="21"/>
                <w:szCs w:val="21"/>
                <w:highlight w:val="none"/>
                <w:lang w:eastAsia="zh-CN"/>
              </w:rPr>
              <w:t>政管办</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区各政府信息公开主体部门</w:t>
            </w: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val="0"/>
                <w:bCs/>
                <w:color w:val="auto"/>
                <w:kern w:val="0"/>
                <w:sz w:val="21"/>
                <w:szCs w:val="21"/>
                <w:highlight w:val="none"/>
                <w:lang w:val="en-US" w:eastAsia="zh-CN"/>
              </w:rPr>
            </w:pPr>
            <w:r>
              <w:rPr>
                <w:rFonts w:hint="default" w:ascii="Times New Roman" w:hAnsi="Times New Roman" w:eastAsia="仿宋_GB2312" w:cs="Times New Roman"/>
                <w:b w:val="0"/>
                <w:bCs/>
                <w:color w:val="auto"/>
                <w:kern w:val="0"/>
                <w:sz w:val="21"/>
                <w:szCs w:val="21"/>
                <w:highlight w:val="none"/>
              </w:rPr>
              <w:t>1</w:t>
            </w:r>
            <w:r>
              <w:rPr>
                <w:rFonts w:hint="default" w:ascii="Times New Roman" w:hAnsi="Times New Roman" w:eastAsia="仿宋_GB2312" w:cs="Times New Roman"/>
                <w:b w:val="0"/>
                <w:bCs/>
                <w:color w:val="auto"/>
                <w:kern w:val="0"/>
                <w:sz w:val="21"/>
                <w:szCs w:val="21"/>
                <w:highlight w:val="none"/>
                <w:lang w:val="en-US" w:eastAsia="zh-CN"/>
              </w:rPr>
              <w:t>6</w:t>
            </w:r>
          </w:p>
        </w:tc>
        <w:tc>
          <w:tcPr>
            <w:tcW w:w="10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楷体_GB2312" w:cs="Times New Roman"/>
                <w:b w:val="0"/>
                <w:bCs/>
                <w:color w:val="auto"/>
                <w:spacing w:val="-11"/>
                <w:kern w:val="0"/>
                <w:sz w:val="21"/>
                <w:szCs w:val="21"/>
                <w:highlight w:val="none"/>
                <w:lang w:bidi="ar-SA"/>
              </w:rPr>
              <w:t>聚焦公平公正，打造规范高效交易环境</w:t>
            </w:r>
          </w:p>
        </w:tc>
        <w:tc>
          <w:tcPr>
            <w:tcW w:w="116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rPr>
              <w:t>以协调立足当下，凝聚协同监管新合力</w:t>
            </w:r>
          </w:p>
        </w:tc>
        <w:tc>
          <w:tcPr>
            <w:tcW w:w="5594"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sz w:val="21"/>
                <w:szCs w:val="21"/>
                <w:highlight w:val="none"/>
              </w:rPr>
            </w:pPr>
            <w:r>
              <w:rPr>
                <w:rFonts w:hint="default" w:ascii="Times New Roman" w:hAnsi="Times New Roman" w:eastAsia="仿宋_GB2312" w:cs="Times New Roman"/>
                <w:b w:val="0"/>
                <w:bCs/>
                <w:color w:val="auto"/>
                <w:sz w:val="21"/>
                <w:szCs w:val="21"/>
                <w:highlight w:val="none"/>
                <w:lang w:val="en-US" w:eastAsia="zh-CN"/>
              </w:rPr>
              <w:t>1.</w:t>
            </w:r>
            <w:r>
              <w:rPr>
                <w:rFonts w:hint="default" w:ascii="Times New Roman" w:hAnsi="Times New Roman" w:eastAsia="仿宋_GB2312" w:cs="Times New Roman"/>
                <w:b w:val="0"/>
                <w:bCs/>
                <w:color w:val="auto"/>
                <w:sz w:val="21"/>
                <w:szCs w:val="21"/>
                <w:highlight w:val="none"/>
              </w:rPr>
              <w:t>强化部门协同联动、信息互联互通，推进联动监管常态化；持续开展社会监督活动，不断促进公共资源交易公平、公正、公开；</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sz w:val="21"/>
                <w:szCs w:val="21"/>
                <w:highlight w:val="none"/>
                <w:lang w:val="en-US" w:eastAsia="zh-CN"/>
              </w:rPr>
              <w:t>2.</w:t>
            </w:r>
            <w:r>
              <w:rPr>
                <w:rFonts w:hint="default" w:ascii="Times New Roman" w:hAnsi="Times New Roman" w:eastAsia="仿宋_GB2312" w:cs="Times New Roman"/>
                <w:b w:val="0"/>
                <w:bCs/>
                <w:color w:val="auto"/>
                <w:sz w:val="21"/>
                <w:szCs w:val="21"/>
                <w:highlight w:val="none"/>
              </w:rPr>
              <w:t>组织行业监管部门开展联合督查，多领域开展</w:t>
            </w:r>
            <w:r>
              <w:rPr>
                <w:rFonts w:hint="eastAsia" w:cs="Times New Roman"/>
                <w:b w:val="0"/>
                <w:bCs/>
                <w:color w:val="auto"/>
                <w:sz w:val="21"/>
                <w:szCs w:val="21"/>
                <w:highlight w:val="none"/>
                <w:lang w:eastAsia="zh-CN"/>
              </w:rPr>
              <w:t>“双随机、一公开”</w:t>
            </w:r>
            <w:r>
              <w:rPr>
                <w:rFonts w:hint="default" w:ascii="Times New Roman" w:hAnsi="Times New Roman" w:eastAsia="仿宋_GB2312" w:cs="Times New Roman"/>
                <w:b w:val="0"/>
                <w:bCs/>
                <w:color w:val="auto"/>
                <w:sz w:val="21"/>
                <w:szCs w:val="21"/>
                <w:highlight w:val="none"/>
              </w:rPr>
              <w:t>专项抽查，着力破除所有制歧视、地方保护等不合理限制，配合行业监管部门查处对外地企业设置的隐性门槛和壁垒等违法违规行为。</w:t>
            </w:r>
          </w:p>
        </w:tc>
        <w:tc>
          <w:tcPr>
            <w:tcW w:w="1209"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区</w:t>
            </w:r>
            <w:r>
              <w:rPr>
                <w:rFonts w:hint="default" w:ascii="Times New Roman" w:hAnsi="Times New Roman" w:eastAsia="仿宋_GB2312" w:cs="Times New Roman"/>
                <w:b w:val="0"/>
                <w:bCs/>
                <w:color w:val="auto"/>
                <w:kern w:val="0"/>
                <w:sz w:val="21"/>
                <w:szCs w:val="21"/>
                <w:highlight w:val="none"/>
                <w:lang w:eastAsia="zh-CN"/>
              </w:rPr>
              <w:t>政管办、</w:t>
            </w:r>
            <w:r>
              <w:rPr>
                <w:rFonts w:hint="default" w:ascii="Times New Roman" w:hAnsi="Times New Roman" w:eastAsia="仿宋_GB2312" w:cs="Times New Roman"/>
                <w:b w:val="0"/>
                <w:bCs/>
                <w:color w:val="auto"/>
                <w:kern w:val="0"/>
                <w:sz w:val="21"/>
                <w:szCs w:val="21"/>
                <w:highlight w:val="none"/>
                <w:lang w:val="en-US" w:eastAsia="zh-CN"/>
              </w:rPr>
              <w:t>区</w:t>
            </w:r>
            <w:r>
              <w:rPr>
                <w:rFonts w:hint="default" w:ascii="Times New Roman" w:hAnsi="Times New Roman" w:eastAsia="仿宋_GB2312" w:cs="Times New Roman"/>
                <w:b w:val="0"/>
                <w:bCs/>
                <w:color w:val="auto"/>
                <w:kern w:val="0"/>
                <w:sz w:val="21"/>
                <w:szCs w:val="21"/>
                <w:highlight w:val="none"/>
                <w:lang w:eastAsia="zh-CN"/>
              </w:rPr>
              <w:t>住房和城乡建设局、</w:t>
            </w:r>
            <w:r>
              <w:rPr>
                <w:rFonts w:hint="default" w:ascii="Times New Roman" w:hAnsi="Times New Roman" w:eastAsia="仿宋_GB2312" w:cs="Times New Roman"/>
                <w:b w:val="0"/>
                <w:bCs/>
                <w:color w:val="auto"/>
                <w:kern w:val="0"/>
                <w:sz w:val="21"/>
                <w:szCs w:val="21"/>
                <w:highlight w:val="none"/>
                <w:lang w:val="en-US" w:eastAsia="zh-CN"/>
              </w:rPr>
              <w:t>区</w:t>
            </w:r>
            <w:r>
              <w:rPr>
                <w:rFonts w:hint="default" w:ascii="Times New Roman" w:hAnsi="Times New Roman" w:eastAsia="仿宋_GB2312" w:cs="Times New Roman"/>
                <w:b w:val="0"/>
                <w:bCs/>
                <w:color w:val="auto"/>
                <w:kern w:val="0"/>
                <w:sz w:val="21"/>
                <w:szCs w:val="21"/>
                <w:highlight w:val="none"/>
                <w:lang w:eastAsia="zh-CN"/>
              </w:rPr>
              <w:t>交通运输局、</w:t>
            </w:r>
            <w:r>
              <w:rPr>
                <w:rFonts w:hint="default" w:ascii="Times New Roman" w:hAnsi="Times New Roman" w:eastAsia="仿宋_GB2312" w:cs="Times New Roman"/>
                <w:b w:val="0"/>
                <w:bCs/>
                <w:color w:val="auto"/>
                <w:kern w:val="0"/>
                <w:sz w:val="21"/>
                <w:szCs w:val="21"/>
                <w:highlight w:val="none"/>
                <w:lang w:val="en-US" w:eastAsia="zh-CN"/>
              </w:rPr>
              <w:t>区农业农村</w:t>
            </w:r>
            <w:r>
              <w:rPr>
                <w:rFonts w:hint="default" w:ascii="Times New Roman" w:hAnsi="Times New Roman" w:eastAsia="仿宋_GB2312" w:cs="Times New Roman"/>
                <w:b w:val="0"/>
                <w:bCs/>
                <w:color w:val="auto"/>
                <w:kern w:val="0"/>
                <w:sz w:val="21"/>
                <w:szCs w:val="21"/>
                <w:highlight w:val="none"/>
                <w:lang w:eastAsia="zh-CN"/>
              </w:rPr>
              <w:t>局</w:t>
            </w:r>
          </w:p>
        </w:tc>
        <w:tc>
          <w:tcPr>
            <w:tcW w:w="288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 w:val="0"/>
                <w:bCs/>
                <w:color w:val="auto"/>
                <w:kern w:val="0"/>
                <w:sz w:val="21"/>
                <w:szCs w:val="21"/>
                <w:highlight w:val="none"/>
                <w:lang w:val="en-US" w:eastAsia="zh-CN"/>
              </w:rPr>
            </w:pPr>
          </w:p>
        </w:tc>
        <w:tc>
          <w:tcPr>
            <w:tcW w:w="1104" w:type="dxa"/>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color w:val="auto"/>
                <w:kern w:val="0"/>
                <w:sz w:val="21"/>
                <w:szCs w:val="21"/>
                <w:highlight w:val="none"/>
              </w:rPr>
            </w:pPr>
            <w:r>
              <w:rPr>
                <w:rFonts w:hint="default" w:ascii="Times New Roman" w:hAnsi="Times New Roman" w:eastAsia="仿宋_GB2312" w:cs="Times New Roman"/>
                <w:b w:val="0"/>
                <w:bCs/>
                <w:color w:val="auto"/>
                <w:kern w:val="0"/>
                <w:sz w:val="21"/>
                <w:szCs w:val="21"/>
                <w:highlight w:val="none"/>
                <w:lang w:val="en-US" w:eastAsia="zh-CN"/>
              </w:rPr>
              <w:t>2023年12月31日前</w:t>
            </w:r>
          </w:p>
        </w:tc>
      </w:tr>
    </w:tbl>
    <w:p>
      <w:pPr>
        <w:rPr>
          <w:rFonts w:hint="default" w:ascii="Times New Roman" w:hAnsi="Times New Roman" w:cs="Times New Roman"/>
        </w:rPr>
        <w:sectPr>
          <w:headerReference r:id="rId3" w:type="default"/>
          <w:footerReference r:id="rId5" w:type="default"/>
          <w:headerReference r:id="rId4" w:type="even"/>
          <w:footerReference r:id="rId6" w:type="even"/>
          <w:pgSz w:w="16840" w:h="11907" w:orient="landscape"/>
          <w:pgMar w:top="1587" w:right="2098" w:bottom="1474" w:left="1984" w:header="851" w:footer="1389" w:gutter="0"/>
          <w:pgNumType w:start="1"/>
          <w:cols w:space="0" w:num="1"/>
          <w:rtlGutter w:val="0"/>
          <w:docGrid w:type="linesAndChars" w:linePitch="589" w:charSpace="-842"/>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配合单位清单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一、鱼峰区各</w:t>
      </w:r>
      <w:r>
        <w:rPr>
          <w:rFonts w:hint="eastAsia" w:ascii="黑体" w:hAnsi="黑体" w:eastAsia="黑体" w:cs="黑体"/>
          <w:b w:val="0"/>
          <w:bCs w:val="0"/>
          <w:color w:val="auto"/>
          <w:sz w:val="32"/>
          <w:szCs w:val="32"/>
          <w:highlight w:val="none"/>
        </w:rPr>
        <w:t>具有政务服务事项的</w:t>
      </w:r>
      <w:r>
        <w:rPr>
          <w:rFonts w:hint="eastAsia" w:ascii="黑体" w:hAnsi="黑体" w:eastAsia="黑体" w:cs="黑体"/>
          <w:b w:val="0"/>
          <w:bCs w:val="0"/>
          <w:color w:val="auto"/>
          <w:sz w:val="32"/>
          <w:szCs w:val="32"/>
          <w:highlight w:val="none"/>
          <w:lang w:val="en-US" w:eastAsia="zh-CN"/>
        </w:rPr>
        <w:t>区</w:t>
      </w:r>
      <w:r>
        <w:rPr>
          <w:rFonts w:hint="eastAsia" w:ascii="黑体" w:hAnsi="黑体" w:eastAsia="黑体" w:cs="黑体"/>
          <w:b w:val="0"/>
          <w:bCs w:val="0"/>
          <w:color w:val="auto"/>
          <w:sz w:val="32"/>
          <w:szCs w:val="32"/>
          <w:highlight w:val="none"/>
        </w:rPr>
        <w:t>直、</w:t>
      </w:r>
      <w:r>
        <w:rPr>
          <w:rFonts w:hint="eastAsia" w:ascii="黑体" w:hAnsi="黑体" w:eastAsia="黑体" w:cs="黑体"/>
          <w:b w:val="0"/>
          <w:bCs w:val="0"/>
          <w:color w:val="auto"/>
          <w:sz w:val="32"/>
          <w:szCs w:val="32"/>
          <w:highlight w:val="none"/>
          <w:lang w:val="en-US" w:eastAsia="zh-CN"/>
        </w:rPr>
        <w:t>垂直管理</w:t>
      </w:r>
      <w:r>
        <w:rPr>
          <w:rFonts w:hint="eastAsia" w:ascii="黑体" w:hAnsi="黑体" w:eastAsia="黑体" w:cs="黑体"/>
          <w:b w:val="0"/>
          <w:bCs w:val="0"/>
          <w:color w:val="auto"/>
          <w:sz w:val="32"/>
          <w:szCs w:val="32"/>
          <w:highlight w:val="none"/>
        </w:rPr>
        <w:t>部门：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仿宋_GB2312" w:cs="Times New Roman"/>
          <w:color w:val="auto"/>
          <w:sz w:val="32"/>
          <w:szCs w:val="44"/>
          <w:highlight w:val="none"/>
          <w:lang w:val="en-US" w:eastAsia="zh-CN" w:bidi="ar-SA"/>
        </w:rPr>
      </w:pPr>
      <w:r>
        <w:rPr>
          <w:rFonts w:hint="default" w:ascii="Times New Roman" w:hAnsi="Times New Roman" w:eastAsia="仿宋_GB2312" w:cs="Times New Roman"/>
          <w:color w:val="auto"/>
          <w:sz w:val="32"/>
          <w:szCs w:val="32"/>
          <w:highlight w:val="none"/>
        </w:rPr>
        <w:t>区委宣传部（新闻出版局）、区委统战部（民宗局），发展和改革局、工业和信息化局、教育局、科学技术局、民政局、司法局、财政局、人力资源和社会保障局、自然资源局、住房和城乡建设局、交通运输局、农业农村局、商务局、文化体育广电和旅游局、卫生健康局、退役军人事务局、应急管理局、审计局、市场监督管理局、统计局、医疗保障局、城市管理行政执法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鱼峰生态环境局、档案局、残疾人联合会、消防救援大队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default"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二、鱼峰</w:t>
      </w:r>
      <w:r>
        <w:rPr>
          <w:rFonts w:hint="default" w:ascii="黑体" w:hAnsi="黑体" w:eastAsia="黑体" w:cs="黑体"/>
          <w:b w:val="0"/>
          <w:bCs w:val="0"/>
          <w:color w:val="auto"/>
          <w:sz w:val="32"/>
          <w:szCs w:val="32"/>
          <w:highlight w:val="none"/>
          <w:lang w:eastAsia="zh-CN"/>
        </w:rPr>
        <w:t>区政务服务中心各分中心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仿宋_GB2312" w:cs="Times New Roman"/>
          <w:color w:val="auto"/>
          <w:sz w:val="32"/>
          <w:szCs w:val="44"/>
          <w:highlight w:val="none"/>
          <w:lang w:bidi="ar-SA"/>
        </w:rPr>
      </w:pPr>
      <w:r>
        <w:rPr>
          <w:rFonts w:hint="default" w:ascii="Times New Roman" w:hAnsi="Times New Roman" w:eastAsia="仿宋_GB2312" w:cs="Times New Roman"/>
          <w:color w:val="auto"/>
          <w:sz w:val="32"/>
          <w:szCs w:val="44"/>
          <w:highlight w:val="none"/>
          <w:lang w:bidi="ar-SA"/>
        </w:rPr>
        <w:t xml:space="preserve">鱼峰公安分中心（公安鱼峰分局）、鱼峰税务分中心（鱼峰区税局）、退役军人服务分中心（退役军人事务局）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default"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三、</w:t>
      </w:r>
      <w:r>
        <w:rPr>
          <w:rFonts w:hint="default" w:ascii="黑体" w:hAnsi="黑体" w:eastAsia="黑体" w:cs="黑体"/>
          <w:b w:val="0"/>
          <w:bCs w:val="0"/>
          <w:color w:val="auto"/>
          <w:sz w:val="32"/>
          <w:szCs w:val="32"/>
          <w:highlight w:val="none"/>
          <w:lang w:eastAsia="zh-CN"/>
        </w:rPr>
        <w:t>各镇、街道</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eastAsia="仿宋_GB2312" w:cs="Times New Roman"/>
          <w:color w:val="auto"/>
          <w:sz w:val="32"/>
          <w:szCs w:val="44"/>
          <w:highlight w:val="none"/>
        </w:rPr>
      </w:pPr>
      <w:r>
        <w:rPr>
          <w:rFonts w:hint="default" w:ascii="Times New Roman" w:hAnsi="Times New Roman" w:eastAsia="仿宋_GB2312" w:cs="Times New Roman"/>
          <w:color w:val="auto"/>
          <w:sz w:val="32"/>
          <w:szCs w:val="44"/>
          <w:highlight w:val="none"/>
        </w:rPr>
        <w:t>里雍镇、白沙镇、天马街道、驾鹤街道、荣军街道、箭盘山街道、五里亭街道、白莲街道、麒麟街道</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Times New Roman" w:hAnsi="Times New Roman" w:cs="Times New Roman"/>
        </w:rPr>
      </w:pPr>
    </w:p>
    <w:p>
      <w:pPr>
        <w:pStyle w:val="5"/>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before="0" w:after="0" w:line="700" w:lineRule="exact"/>
        <w:textAlignment w:val="auto"/>
        <w:rPr>
          <w:rFonts w:hint="default" w:ascii="Times New Roman" w:hAnsi="Times New Roman" w:eastAsia="黑体" w:cs="Times New Roman"/>
          <w:spacing w:val="8"/>
          <w:kern w:val="0"/>
          <w:szCs w:val="32"/>
        </w:rPr>
      </w:pPr>
    </w:p>
    <w:p>
      <w:pPr>
        <w:pStyle w:val="5"/>
        <w:keepNext w:val="0"/>
        <w:keepLines w:val="0"/>
        <w:pageBreakBefore w:val="0"/>
        <w:widowControl w:val="0"/>
        <w:kinsoku/>
        <w:wordWrap/>
        <w:overflowPunct/>
        <w:topLinePunct w:val="0"/>
        <w:autoSpaceDE/>
        <w:autoSpaceDN/>
        <w:bidi w:val="0"/>
        <w:adjustRightInd/>
        <w:snapToGrid/>
        <w:spacing w:before="0" w:after="0" w:line="560" w:lineRule="atLeas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firstLine="316" w:firstLineChars="100"/>
        <w:textAlignment w:val="auto"/>
        <w:rPr>
          <w:rFonts w:hint="default" w:ascii="Times New Roman" w:hAnsi="Times New Roman" w:cs="Times New Roman"/>
          <w:szCs w:val="32"/>
        </w:rPr>
      </w:pPr>
    </w:p>
    <w:sectPr>
      <w:pgSz w:w="11907" w:h="16840"/>
      <w:pgMar w:top="2098" w:right="1474" w:bottom="1984" w:left="1587" w:header="851" w:footer="1389" w:gutter="0"/>
      <w:pgNumType w:start="1"/>
      <w:cols w:space="0" w:num="1"/>
      <w:rtlGutter w:val="0"/>
      <w:docGrid w:type="linesAndChars" w:linePitch="58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eastAsia="宋体"/>
        <w:sz w:val="28"/>
        <w:szCs w:val="28"/>
      </w:rPr>
    </w:pPr>
    <w:r>
      <w:rPr>
        <w:sz w:val="28"/>
        <w:szCs w:val="28"/>
      </w:rPr>
      <w:t xml:space="preserve">— </w:t>
    </w:r>
    <w:r>
      <w:rPr>
        <w:rStyle w:val="18"/>
        <w:rFonts w:ascii="宋体" w:hAnsi="宋体" w:eastAsia="宋体" w:cs="宋体"/>
        <w:sz w:val="28"/>
        <w:szCs w:val="28"/>
      </w:rPr>
      <w:fldChar w:fldCharType="begin"/>
    </w:r>
    <w:r>
      <w:rPr>
        <w:rStyle w:val="18"/>
        <w:rFonts w:ascii="宋体" w:hAnsi="宋体" w:eastAsia="宋体" w:cs="宋体"/>
        <w:sz w:val="28"/>
        <w:szCs w:val="28"/>
      </w:rPr>
      <w:instrText xml:space="preserve"> PAGE </w:instrText>
    </w:r>
    <w:r>
      <w:rPr>
        <w:rStyle w:val="18"/>
        <w:rFonts w:ascii="宋体" w:hAnsi="宋体" w:eastAsia="宋体" w:cs="宋体"/>
        <w:sz w:val="28"/>
        <w:szCs w:val="28"/>
      </w:rPr>
      <w:fldChar w:fldCharType="separate"/>
    </w:r>
    <w:r>
      <w:rPr>
        <w:rStyle w:val="18"/>
        <w:rFonts w:ascii="宋体" w:hAnsi="宋体" w:eastAsia="宋体" w:cs="宋体"/>
        <w:sz w:val="28"/>
        <w:szCs w:val="28"/>
      </w:rPr>
      <w:t>19</w:t>
    </w:r>
    <w:r>
      <w:rPr>
        <w:rStyle w:val="18"/>
        <w:rFonts w:ascii="宋体" w:hAnsi="宋体" w:eastAsia="宋体" w:cs="宋体"/>
        <w:sz w:val="28"/>
        <w:szCs w:val="28"/>
      </w:rPr>
      <w:fldChar w:fldCharType="end"/>
    </w:r>
    <w:r>
      <w:rPr>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rPr>
        <w:sz w:val="28"/>
        <w:szCs w:val="28"/>
      </w:rPr>
    </w:pPr>
    <w:r>
      <w:rPr>
        <w:sz w:val="28"/>
        <w:szCs w:val="28"/>
      </w:rPr>
      <w:t>—</w:t>
    </w:r>
    <w:r>
      <w:rPr>
        <w:rStyle w:val="18"/>
        <w:rFonts w:hint="eastAsia" w:ascii="宋体" w:hAnsi="宋体" w:eastAsia="宋体" w:cs="宋体"/>
        <w:sz w:val="28"/>
        <w:szCs w:val="28"/>
      </w:rPr>
      <w:t xml:space="preserve"> </w:t>
    </w:r>
    <w:r>
      <w:rPr>
        <w:rStyle w:val="18"/>
        <w:rFonts w:ascii="宋体" w:hAnsi="宋体" w:eastAsia="宋体" w:cs="宋体"/>
        <w:sz w:val="28"/>
        <w:szCs w:val="28"/>
      </w:rPr>
      <w:fldChar w:fldCharType="begin"/>
    </w:r>
    <w:r>
      <w:rPr>
        <w:rStyle w:val="18"/>
        <w:rFonts w:ascii="宋体" w:hAnsi="宋体" w:eastAsia="宋体" w:cs="宋体"/>
        <w:sz w:val="28"/>
        <w:szCs w:val="28"/>
      </w:rPr>
      <w:instrText xml:space="preserve"> PAGE </w:instrText>
    </w:r>
    <w:r>
      <w:rPr>
        <w:rStyle w:val="18"/>
        <w:rFonts w:ascii="宋体" w:hAnsi="宋体" w:eastAsia="宋体" w:cs="宋体"/>
        <w:sz w:val="28"/>
        <w:szCs w:val="28"/>
      </w:rPr>
      <w:fldChar w:fldCharType="separate"/>
    </w:r>
    <w:r>
      <w:rPr>
        <w:rStyle w:val="18"/>
        <w:rFonts w:ascii="宋体" w:hAnsi="宋体" w:eastAsia="宋体" w:cs="宋体"/>
        <w:sz w:val="28"/>
        <w:szCs w:val="28"/>
      </w:rPr>
      <w:t>20</w:t>
    </w:r>
    <w:r>
      <w:rPr>
        <w:rStyle w:val="18"/>
        <w:rFonts w:ascii="宋体" w:hAnsi="宋体" w:eastAsia="宋体" w:cs="宋体"/>
        <w:sz w:val="28"/>
        <w:szCs w:val="28"/>
      </w:rPr>
      <w:fldChar w:fldCharType="end"/>
    </w:r>
    <w:r>
      <w:rPr>
        <w:rStyle w:val="18"/>
        <w:rFonts w:hint="eastAsia" w:ascii="宋体" w:hAnsi="宋体" w:eastAsia="宋体" w:cs="宋体"/>
        <w:sz w:val="28"/>
        <w:szCs w:val="28"/>
      </w:rPr>
      <w:t xml:space="preserve"> </w:t>
    </w:r>
    <w:r>
      <w:rPr>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142163"/>
    <w:multiLevelType w:val="singleLevel"/>
    <w:tmpl w:val="64142163"/>
    <w:lvl w:ilvl="0" w:tentative="0">
      <w:start w:val="1"/>
      <w:numFmt w:val="decimal"/>
      <w:suff w:val="nothing"/>
      <w:lvlText w:val="%1."/>
      <w:lvlJc w:val="left"/>
    </w:lvl>
  </w:abstractNum>
  <w:abstractNum w:abstractNumId="1">
    <w:nsid w:val="64142193"/>
    <w:multiLevelType w:val="singleLevel"/>
    <w:tmpl w:val="6414219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5"/>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65564A8"/>
    <w:rsid w:val="0E57182E"/>
    <w:rsid w:val="144D5D1A"/>
    <w:rsid w:val="179D56C1"/>
    <w:rsid w:val="1AF21A10"/>
    <w:rsid w:val="1F3CA785"/>
    <w:rsid w:val="1F991545"/>
    <w:rsid w:val="2309100C"/>
    <w:rsid w:val="24625595"/>
    <w:rsid w:val="28CD5F1A"/>
    <w:rsid w:val="2DB17CA6"/>
    <w:rsid w:val="2DEA1A1B"/>
    <w:rsid w:val="2E075CA1"/>
    <w:rsid w:val="2E902745"/>
    <w:rsid w:val="2FCB09DB"/>
    <w:rsid w:val="2FFF701C"/>
    <w:rsid w:val="36384634"/>
    <w:rsid w:val="38E95657"/>
    <w:rsid w:val="3B8233A0"/>
    <w:rsid w:val="3E833838"/>
    <w:rsid w:val="3F1D523A"/>
    <w:rsid w:val="3FB6F16E"/>
    <w:rsid w:val="40F23AF0"/>
    <w:rsid w:val="415B417C"/>
    <w:rsid w:val="42C4057F"/>
    <w:rsid w:val="43B45552"/>
    <w:rsid w:val="44A57DDF"/>
    <w:rsid w:val="485B27A2"/>
    <w:rsid w:val="495B377A"/>
    <w:rsid w:val="4E7E3F69"/>
    <w:rsid w:val="4F7C65F9"/>
    <w:rsid w:val="554974CA"/>
    <w:rsid w:val="56EB4761"/>
    <w:rsid w:val="575B04CA"/>
    <w:rsid w:val="58616610"/>
    <w:rsid w:val="58EC5D46"/>
    <w:rsid w:val="5A78650C"/>
    <w:rsid w:val="5F3B8FD0"/>
    <w:rsid w:val="5F8A53D2"/>
    <w:rsid w:val="6755103E"/>
    <w:rsid w:val="69E9424C"/>
    <w:rsid w:val="6A7EB9D2"/>
    <w:rsid w:val="6B6A05EB"/>
    <w:rsid w:val="6CA8460A"/>
    <w:rsid w:val="6D3FF89C"/>
    <w:rsid w:val="6E3C3D48"/>
    <w:rsid w:val="6EE3A62F"/>
    <w:rsid w:val="6F292EE7"/>
    <w:rsid w:val="72D54ABB"/>
    <w:rsid w:val="76304EB5"/>
    <w:rsid w:val="76D66447"/>
    <w:rsid w:val="7733E572"/>
    <w:rsid w:val="77BF9F30"/>
    <w:rsid w:val="7AA3233F"/>
    <w:rsid w:val="7B794332"/>
    <w:rsid w:val="7B7AA8BB"/>
    <w:rsid w:val="7BF51CF9"/>
    <w:rsid w:val="7C317C4B"/>
    <w:rsid w:val="7C8758FA"/>
    <w:rsid w:val="7CAE1431"/>
    <w:rsid w:val="7DAF34C2"/>
    <w:rsid w:val="7E3B1309"/>
    <w:rsid w:val="7EF78ECE"/>
    <w:rsid w:val="7F2E39BB"/>
    <w:rsid w:val="7FAB6F79"/>
    <w:rsid w:val="7FDD29D6"/>
    <w:rsid w:val="9CBF69A9"/>
    <w:rsid w:val="BCFCC77B"/>
    <w:rsid w:val="E7FC5EEA"/>
    <w:rsid w:val="EFBDAC11"/>
    <w:rsid w:val="EFE1BAF9"/>
    <w:rsid w:val="F67B2BA6"/>
    <w:rsid w:val="FF5F099B"/>
    <w:rsid w:val="FF7F9D29"/>
    <w:rsid w:val="FFF78D9B"/>
    <w:rsid w:val="FFFF85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rPr>
  </w:style>
  <w:style w:type="paragraph" w:styleId="4">
    <w:name w:val="Body Text"/>
    <w:basedOn w:val="1"/>
    <w:next w:val="5"/>
    <w:link w:val="20"/>
    <w:qFormat/>
    <w:uiPriority w:val="99"/>
    <w:rPr>
      <w:sz w:val="30"/>
    </w:rPr>
  </w:style>
  <w:style w:type="paragraph" w:styleId="5">
    <w:name w:val="Title"/>
    <w:basedOn w:val="1"/>
    <w:next w:val="1"/>
    <w:qFormat/>
    <w:locked/>
    <w:uiPriority w:val="0"/>
    <w:pPr>
      <w:spacing w:before="60" w:after="120" w:line="560" w:lineRule="exact"/>
      <w:jc w:val="center"/>
      <w:outlineLvl w:val="0"/>
    </w:pPr>
    <w:rPr>
      <w:rFonts w:eastAsia="方正小标宋简体"/>
      <w:bCs/>
      <w:sz w:val="44"/>
    </w:rPr>
  </w:style>
  <w:style w:type="paragraph" w:styleId="6">
    <w:name w:val="Body Text Indent"/>
    <w:basedOn w:val="1"/>
    <w:qFormat/>
    <w:uiPriority w:val="0"/>
    <w:pPr>
      <w:spacing w:after="120"/>
      <w:ind w:left="420" w:leftChars="200"/>
    </w:pPr>
  </w:style>
  <w:style w:type="paragraph" w:styleId="7">
    <w:name w:val="footer"/>
    <w:basedOn w:val="1"/>
    <w:next w:val="8"/>
    <w:link w:val="21"/>
    <w:qFormat/>
    <w:uiPriority w:val="99"/>
    <w:pPr>
      <w:tabs>
        <w:tab w:val="center" w:pos="4153"/>
        <w:tab w:val="right" w:pos="8306"/>
      </w:tabs>
      <w:snapToGrid w:val="0"/>
      <w:jc w:val="left"/>
    </w:pPr>
    <w:rPr>
      <w:sz w:val="18"/>
      <w:szCs w:val="18"/>
    </w:rPr>
  </w:style>
  <w:style w:type="paragraph" w:customStyle="1" w:styleId="8">
    <w:name w:val="_Style 2"/>
    <w:basedOn w:val="1"/>
    <w:qFormat/>
    <w:uiPriority w:val="0"/>
    <w:pPr>
      <w:pBdr>
        <w:bottom w:val="single" w:color="auto" w:sz="6" w:space="1"/>
      </w:pBdr>
      <w:jc w:val="center"/>
    </w:pPr>
    <w:rPr>
      <w:rFonts w:ascii="Cambria" w:hAnsi="Cambria" w:eastAsia="宋体" w:cs="Times New Roman"/>
      <w:color w:val="365F91"/>
      <w:kern w:val="0"/>
      <w:sz w:val="28"/>
      <w:szCs w:val="28"/>
      <w:lang w:val="en-US" w:eastAsia="zh-CN"/>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1"/>
    <w:qFormat/>
    <w:uiPriority w:val="0"/>
    <w:rPr>
      <w:rFonts w:ascii="Times New Roman" w:hAnsi="Times New Roman"/>
      <w:sz w:val="18"/>
      <w:szCs w:val="18"/>
    </w:rPr>
  </w:style>
  <w:style w:type="paragraph" w:styleId="11">
    <w:name w:val="Body Text First Indent 2"/>
    <w:basedOn w:val="6"/>
    <w:qFormat/>
    <w:uiPriority w:val="0"/>
    <w:pPr>
      <w:ind w:firstLine="420" w:firstLineChars="200"/>
    </w:pPr>
  </w:style>
  <w:style w:type="paragraph" w:styleId="12">
    <w:name w:val="Body Text 2"/>
    <w:basedOn w:val="1"/>
    <w:link w:val="23"/>
    <w:qFormat/>
    <w:uiPriority w:val="99"/>
    <w:pPr>
      <w:spacing w:after="120" w:line="480" w:lineRule="auto"/>
    </w:pPr>
  </w:style>
  <w:style w:type="paragraph" w:styleId="13">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4"/>
    <w:unhideWhenUsed/>
    <w:qFormat/>
    <w:uiPriority w:val="99"/>
    <w:pPr>
      <w:ind w:firstLine="420" w:firstLineChars="100"/>
    </w:pPr>
  </w:style>
  <w:style w:type="table" w:styleId="16">
    <w:name w:val="Table Grid"/>
    <w:basedOn w:val="1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rPr>
      <w:rFonts w:cs="Times New Roman"/>
    </w:rPr>
  </w:style>
  <w:style w:type="paragraph" w:customStyle="1" w:styleId="19">
    <w:name w:val="Default"/>
    <w:unhideWhenUsed/>
    <w:qFormat/>
    <w:uiPriority w:val="99"/>
    <w:pPr>
      <w:widowControl w:val="0"/>
      <w:autoSpaceDE w:val="0"/>
      <w:autoSpaceDN w:val="0"/>
      <w:adjustRightInd w:val="0"/>
      <w:spacing w:beforeLines="0" w:afterLines="0"/>
    </w:pPr>
    <w:rPr>
      <w:rFonts w:hint="eastAsia" w:ascii="方正小标宋_GBK" w:hAnsi="方正小标宋_GBK" w:eastAsia="方正小标宋_GBK" w:cs="Times New Roman"/>
      <w:color w:val="000000"/>
      <w:sz w:val="24"/>
      <w:szCs w:val="22"/>
    </w:rPr>
  </w:style>
  <w:style w:type="character" w:customStyle="1" w:styleId="20">
    <w:name w:val="正文文本 Char"/>
    <w:link w:val="4"/>
    <w:semiHidden/>
    <w:qFormat/>
    <w:uiPriority w:val="99"/>
    <w:rPr>
      <w:rFonts w:eastAsia="仿宋_GB2312"/>
      <w:sz w:val="32"/>
      <w:szCs w:val="24"/>
    </w:rPr>
  </w:style>
  <w:style w:type="character" w:customStyle="1" w:styleId="21">
    <w:name w:val="页脚 Char"/>
    <w:link w:val="7"/>
    <w:semiHidden/>
    <w:qFormat/>
    <w:uiPriority w:val="99"/>
    <w:rPr>
      <w:rFonts w:eastAsia="仿宋_GB2312"/>
      <w:sz w:val="18"/>
      <w:szCs w:val="18"/>
    </w:rPr>
  </w:style>
  <w:style w:type="character" w:customStyle="1" w:styleId="22">
    <w:name w:val="页眉 Char"/>
    <w:link w:val="9"/>
    <w:semiHidden/>
    <w:qFormat/>
    <w:uiPriority w:val="99"/>
    <w:rPr>
      <w:rFonts w:eastAsia="仿宋_GB2312"/>
      <w:sz w:val="18"/>
      <w:szCs w:val="18"/>
    </w:rPr>
  </w:style>
  <w:style w:type="character" w:customStyle="1" w:styleId="23">
    <w:name w:val="正文文本 2 Char"/>
    <w:link w:val="12"/>
    <w:semiHidden/>
    <w:qFormat/>
    <w:uiPriority w:val="99"/>
    <w:rPr>
      <w:rFonts w:eastAsia="仿宋_GB2312"/>
      <w:sz w:val="32"/>
      <w:szCs w:val="24"/>
    </w:rPr>
  </w:style>
  <w:style w:type="paragraph" w:customStyle="1" w:styleId="24">
    <w:name w:val="Char1"/>
    <w:basedOn w:val="1"/>
    <w:qFormat/>
    <w:uiPriority w:val="99"/>
    <w:pPr>
      <w:widowControl/>
      <w:spacing w:after="160" w:line="240" w:lineRule="exact"/>
      <w:jc w:val="left"/>
    </w:pPr>
    <w:rPr>
      <w:rFonts w:ascii="Arial" w:hAnsi="Arial" w:eastAsia="宋体" w:cs="Verdana"/>
      <w:b/>
      <w:kern w:val="0"/>
      <w:sz w:val="24"/>
      <w:lang w:eastAsia="en-US"/>
    </w:rPr>
  </w:style>
  <w:style w:type="paragraph" w:customStyle="1" w:styleId="25">
    <w:name w:val="0"/>
    <w:basedOn w:val="1"/>
    <w:qFormat/>
    <w:uiPriority w:val="0"/>
    <w:pPr>
      <w:widowControl/>
      <w:snapToGrid w:val="0"/>
      <w:spacing w:line="365" w:lineRule="atLeast"/>
      <w:ind w:left="1"/>
      <w:textAlignment w:val="bottom"/>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7</Pages>
  <Words>4027</Words>
  <Characters>4121</Characters>
  <Lines>36</Lines>
  <Paragraphs>10</Paragraphs>
  <TotalTime>46</TotalTime>
  <ScaleCrop>false</ScaleCrop>
  <LinksUpToDate>false</LinksUpToDate>
  <CharactersWithSpaces>4128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2019-07-18T22:41:00Z</dcterms:created>
  <dc:creator>Administrator</dc:creator>
  <cp:lastModifiedBy>ちひろ</cp:lastModifiedBy>
  <cp:lastPrinted>2023-04-13T16:44:00Z</cp:lastPrinted>
  <dcterms:modified xsi:type="dcterms:W3CDTF">2023-04-28T08:31:42Z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3E994242047C4F2E956E3A45AAA48BBD_13</vt:lpwstr>
  </property>
</Properties>
</file>