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CellSpacing w:w="15" w:type="dxa"/>
        <w:tblInd w:w="0" w:type="dxa"/>
        <w:tblLayout w:type="autofit"/>
        <w:tblCellMar>
          <w:top w:w="0" w:type="dxa"/>
          <w:left w:w="0" w:type="dxa"/>
          <w:bottom w:w="0" w:type="dxa"/>
          <w:right w:w="0" w:type="dxa"/>
        </w:tblCellMar>
      </w:tblPr>
      <w:tblGrid>
        <w:gridCol w:w="1566"/>
        <w:gridCol w:w="2089"/>
        <w:gridCol w:w="1552"/>
        <w:gridCol w:w="1373"/>
        <w:gridCol w:w="2552"/>
      </w:tblGrid>
      <w:tr>
        <w:tblPrEx>
          <w:tblCellMar>
            <w:top w:w="0" w:type="dxa"/>
            <w:left w:w="0" w:type="dxa"/>
            <w:bottom w:w="0" w:type="dxa"/>
            <w:right w:w="0" w:type="dxa"/>
          </w:tblCellMar>
        </w:tblPrEx>
        <w:trPr>
          <w:tblCellSpacing w:w="15" w:type="dxa"/>
        </w:trPr>
        <w:tc>
          <w:tcPr>
            <w:tcW w:w="0" w:type="auto"/>
            <w:gridSpan w:val="5"/>
            <w:vAlign w:val="center"/>
          </w:tcPr>
          <w:p>
            <w:pPr>
              <w:spacing w:line="600" w:lineRule="atLeast"/>
              <w:jc w:val="center"/>
              <w:rPr>
                <w:rFonts w:ascii="方正小标宋简体" w:eastAsia="方正小标宋简体"/>
                <w:sz w:val="44"/>
                <w:szCs w:val="44"/>
              </w:rPr>
            </w:pPr>
            <w:r>
              <w:rPr>
                <w:rFonts w:hint="eastAsia" w:ascii="方正小标宋简体" w:eastAsia="方正小标宋简体"/>
                <w:color w:val="FF0000"/>
                <w:sz w:val="44"/>
                <w:szCs w:val="44"/>
              </w:rPr>
              <w:t>政协柳州市十三届四次会议第149号提案</w:t>
            </w:r>
            <w:r>
              <w:rPr>
                <w:rFonts w:hint="eastAsia" w:ascii="方正小标宋简体" w:eastAsia="方正小标宋简体"/>
                <w:sz w:val="44"/>
                <w:szCs w:val="44"/>
              </w:rPr>
              <w:t xml:space="preserve"> </w:t>
            </w:r>
          </w:p>
        </w:tc>
      </w:tr>
      <w:tr>
        <w:tblPrEx>
          <w:tblCellMar>
            <w:top w:w="0" w:type="dxa"/>
            <w:left w:w="0" w:type="dxa"/>
            <w:bottom w:w="0" w:type="dxa"/>
            <w:right w:w="0" w:type="dxa"/>
          </w:tblCellMar>
        </w:tblPrEx>
        <w:trPr>
          <w:tblCellSpacing w:w="15" w:type="dxa"/>
        </w:trPr>
        <w:tc>
          <w:tcPr>
            <w:tcW w:w="850" w:type="pct"/>
            <w:tcBorders>
              <w:top w:val="single" w:color="000000" w:sz="6" w:space="0"/>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hint="eastAsia" w:ascii="黑体" w:hAnsi="黑体" w:eastAsia="黑体"/>
                <w:sz w:val="28"/>
                <w:szCs w:val="28"/>
              </w:rPr>
            </w:pPr>
            <w:r>
              <w:rPr>
                <w:rFonts w:hint="eastAsia" w:ascii="黑体" w:hAnsi="黑体" w:eastAsia="黑体"/>
                <w:sz w:val="28"/>
                <w:szCs w:val="28"/>
              </w:rPr>
              <w:t>案 由</w:t>
            </w:r>
          </w:p>
          <w:p>
            <w:pPr>
              <w:jc w:val="center"/>
              <w:rPr>
                <w:rFonts w:ascii="黑体" w:hAnsi="黑体" w:eastAsia="黑体"/>
                <w:sz w:val="28"/>
                <w:szCs w:val="28"/>
              </w:rPr>
            </w:pPr>
            <w:r>
              <w:rPr>
                <w:rFonts w:hint="eastAsia" w:ascii="黑体" w:hAnsi="黑体" w:eastAsia="黑体"/>
                <w:sz w:val="28"/>
                <w:szCs w:val="28"/>
              </w:rPr>
              <w:t xml:space="preserve">(标题) </w:t>
            </w:r>
          </w:p>
        </w:tc>
        <w:tc>
          <w:tcPr>
            <w:tcW w:w="0" w:type="auto"/>
            <w:gridSpan w:val="4"/>
            <w:tcBorders>
              <w:top w:val="single" w:color="000000" w:sz="6" w:space="0"/>
              <w:left w:val="nil"/>
              <w:bottom w:val="single" w:color="000000" w:sz="6" w:space="0"/>
              <w:right w:val="single" w:color="000000" w:sz="6" w:space="0"/>
            </w:tcBorders>
            <w:tcMar>
              <w:top w:w="150" w:type="dxa"/>
              <w:left w:w="150" w:type="dxa"/>
              <w:bottom w:w="150" w:type="dxa"/>
              <w:right w:w="150" w:type="dxa"/>
            </w:tcMar>
            <w:vAlign w:val="center"/>
          </w:tcPr>
          <w:p>
            <w:pPr>
              <w:spacing w:line="375" w:lineRule="atLeast"/>
              <w:rPr>
                <w:rFonts w:ascii="仿宋" w:hAnsi="仿宋" w:eastAsia="仿宋"/>
                <w:sz w:val="28"/>
                <w:szCs w:val="28"/>
              </w:rPr>
            </w:pPr>
            <w:r>
              <w:rPr>
                <w:rFonts w:hint="eastAsia" w:ascii="仿宋" w:hAnsi="仿宋" w:eastAsia="仿宋"/>
                <w:sz w:val="28"/>
                <w:szCs w:val="28"/>
              </w:rPr>
              <w:t>关于解决学校体育设施对外开放难的提案</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提案者 </w:t>
            </w:r>
          </w:p>
        </w:tc>
        <w:tc>
          <w:tcPr>
            <w:tcW w:w="11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spacing w:line="375" w:lineRule="atLeast"/>
              <w:jc w:val="center"/>
              <w:rPr>
                <w:rFonts w:ascii="仿宋" w:hAnsi="仿宋" w:eastAsia="仿宋"/>
                <w:sz w:val="28"/>
                <w:szCs w:val="28"/>
              </w:rPr>
            </w:pPr>
            <w:bookmarkStart w:id="0" w:name="_Hlk84699208"/>
            <w:r>
              <w:rPr>
                <w:rFonts w:hint="eastAsia" w:ascii="仿宋" w:hAnsi="仿宋" w:eastAsia="仿宋"/>
                <w:sz w:val="28"/>
                <w:szCs w:val="28"/>
              </w:rPr>
              <w:t>郑露茜</w:t>
            </w:r>
            <w:bookmarkEnd w:id="0"/>
          </w:p>
        </w:tc>
        <w:tc>
          <w:tcPr>
            <w:tcW w:w="8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联系电话 </w:t>
            </w:r>
          </w:p>
        </w:tc>
        <w:tc>
          <w:tcPr>
            <w:tcW w:w="0" w:type="auto"/>
            <w:gridSpan w:val="2"/>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仿宋" w:hAnsi="仿宋" w:eastAsia="仿宋"/>
                <w:sz w:val="28"/>
                <w:szCs w:val="28"/>
              </w:rPr>
            </w:pPr>
            <w:r>
              <w:rPr>
                <w:rFonts w:hint="eastAsia" w:ascii="仿宋" w:hAnsi="仿宋" w:eastAsia="仿宋"/>
                <w:sz w:val="28"/>
                <w:szCs w:val="28"/>
              </w:rPr>
              <w:t xml:space="preserve">15807729284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单位及职务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wordWrap w:val="0"/>
              <w:spacing w:line="375" w:lineRule="atLeast"/>
              <w:rPr>
                <w:rFonts w:ascii="仿宋" w:hAnsi="仿宋" w:eastAsia="仿宋"/>
                <w:sz w:val="28"/>
                <w:szCs w:val="28"/>
              </w:rPr>
            </w:pPr>
            <w:r>
              <w:rPr>
                <w:rFonts w:hint="eastAsia" w:ascii="仿宋" w:hAnsi="仿宋" w:eastAsia="仿宋"/>
                <w:sz w:val="28"/>
                <w:szCs w:val="28"/>
              </w:rPr>
              <w:t>柳州市第二中学年级主任</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地址及邮编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柳州市鱼峰区文苑路18号柳州市第二中学（545005）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是否涉密 </w:t>
            </w:r>
          </w:p>
        </w:tc>
        <w:tc>
          <w:tcPr>
            <w:tcW w:w="0" w:type="auto"/>
            <w:gridSpan w:val="2"/>
            <w:tcBorders>
              <w:top w:val="nil"/>
              <w:left w:val="nil"/>
              <w:bottom w:val="single" w:color="000000" w:sz="6" w:space="0"/>
              <w:right w:val="single" w:color="000000" w:sz="6" w:space="0"/>
            </w:tcBorders>
            <w:tcMar>
              <w:top w:w="300" w:type="dxa"/>
              <w:left w:w="150" w:type="dxa"/>
              <w:bottom w:w="30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否 </w:t>
            </w:r>
          </w:p>
        </w:tc>
        <w:tc>
          <w:tcPr>
            <w:tcW w:w="750" w:type="pct"/>
            <w:tcBorders>
              <w:top w:val="nil"/>
              <w:left w:val="nil"/>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是否公开 </w:t>
            </w:r>
          </w:p>
        </w:tc>
        <w:tc>
          <w:tcPr>
            <w:tcW w:w="0" w:type="auto"/>
            <w:tcBorders>
              <w:top w:val="nil"/>
              <w:left w:val="nil"/>
              <w:bottom w:val="single" w:color="000000" w:sz="6" w:space="0"/>
              <w:right w:val="single" w:color="000000" w:sz="6" w:space="0"/>
            </w:tcBorders>
            <w:tcMar>
              <w:top w:w="300" w:type="dxa"/>
              <w:left w:w="120" w:type="dxa"/>
              <w:bottom w:w="300" w:type="dxa"/>
              <w:right w:w="120" w:type="dxa"/>
            </w:tcMar>
            <w:vAlign w:val="center"/>
          </w:tcPr>
          <w:p>
            <w:pPr>
              <w:rPr>
                <w:rFonts w:ascii="仿宋" w:hAnsi="仿宋" w:eastAsia="仿宋"/>
                <w:sz w:val="28"/>
                <w:szCs w:val="28"/>
              </w:rPr>
            </w:pPr>
            <w:r>
              <w:rPr>
                <w:rFonts w:hint="eastAsia" w:ascii="仿宋" w:hAnsi="仿宋" w:eastAsia="仿宋"/>
                <w:sz w:val="28"/>
                <w:szCs w:val="28"/>
              </w:rPr>
              <w:t xml:space="preserve">否 </w:t>
            </w:r>
          </w:p>
        </w:tc>
      </w:tr>
      <w:tr>
        <w:tblPrEx>
          <w:tblCellMar>
            <w:top w:w="0" w:type="dxa"/>
            <w:left w:w="0" w:type="dxa"/>
            <w:bottom w:w="0" w:type="dxa"/>
            <w:right w:w="0" w:type="dxa"/>
          </w:tblCellMar>
        </w:tblPrEx>
        <w:trPr>
          <w:tblCellSpacing w:w="15" w:type="dxa"/>
        </w:trPr>
        <w:tc>
          <w:tcPr>
            <w:tcW w:w="850" w:type="pct"/>
            <w:vMerge w:val="restar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办理意见 </w:t>
            </w:r>
          </w:p>
        </w:tc>
        <w:tc>
          <w:tcPr>
            <w:tcW w:w="1100" w:type="pct"/>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主办单位 </w:t>
            </w:r>
          </w:p>
        </w:tc>
        <w:tc>
          <w:tcPr>
            <w:tcW w:w="0" w:type="auto"/>
            <w:gridSpan w:val="3"/>
            <w:tcBorders>
              <w:top w:val="nil"/>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vMerge w:val="continue"/>
            <w:tcBorders>
              <w:top w:val="nil"/>
              <w:left w:val="single" w:color="000000" w:sz="6" w:space="0"/>
              <w:bottom w:val="nil"/>
              <w:right w:val="single" w:color="000000" w:sz="6" w:space="0"/>
            </w:tcBorders>
            <w:vAlign w:val="center"/>
          </w:tcPr>
          <w:p>
            <w:pPr>
              <w:rPr>
                <w:rFonts w:ascii="黑体" w:hAnsi="黑体" w:eastAsia="黑体"/>
                <w:sz w:val="28"/>
                <w:szCs w:val="28"/>
              </w:rPr>
            </w:pPr>
          </w:p>
        </w:tc>
        <w:tc>
          <w:tcPr>
            <w:tcW w:w="1100" w:type="pct"/>
            <w:tcBorders>
              <w:top w:val="nil"/>
              <w:left w:val="nil"/>
              <w:bottom w:val="nil"/>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协办单位 </w:t>
            </w:r>
          </w:p>
        </w:tc>
        <w:tc>
          <w:tcPr>
            <w:tcW w:w="0" w:type="auto"/>
            <w:gridSpan w:val="3"/>
            <w:tcBorders>
              <w:top w:val="nil"/>
              <w:left w:val="nil"/>
              <w:bottom w:val="nil"/>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tcBorders>
              <w:top w:val="nil"/>
              <w:left w:val="single" w:color="000000" w:sz="6" w:space="0"/>
              <w:bottom w:val="single" w:color="auto" w:sz="4" w:space="0"/>
              <w:right w:val="single" w:color="000000" w:sz="6" w:space="0"/>
            </w:tcBorders>
            <w:vAlign w:val="center"/>
          </w:tcPr>
          <w:p>
            <w:pPr>
              <w:jc w:val="center"/>
              <w:rPr>
                <w:rFonts w:ascii="黑体" w:hAnsi="黑体" w:eastAsia="黑体"/>
                <w:sz w:val="28"/>
                <w:szCs w:val="28"/>
              </w:rPr>
            </w:pPr>
            <w:r>
              <w:rPr>
                <w:rFonts w:hint="eastAsia" w:ascii="黑体" w:hAnsi="黑体" w:eastAsia="黑体"/>
                <w:sz w:val="28"/>
                <w:szCs w:val="28"/>
              </w:rPr>
              <w:t>提案联系人</w:t>
            </w:r>
          </w:p>
        </w:tc>
        <w:tc>
          <w:tcPr>
            <w:tcW w:w="1100" w:type="pct"/>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p>
        </w:tc>
        <w:tc>
          <w:tcPr>
            <w:tcW w:w="0" w:type="auto"/>
            <w:gridSpan w:val="3"/>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p>
        </w:tc>
      </w:tr>
    </w:tbl>
    <w:p>
      <w:pPr>
        <w:rPr>
          <w:vanish/>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ascii="黑体" w:hAnsi="黑体" w:eastAsia="黑体" w:cs="黑体"/>
          <w:sz w:val="28"/>
          <w:szCs w:val="28"/>
        </w:rPr>
      </w:pPr>
      <w:r>
        <w:rPr>
          <w:rFonts w:hint="eastAsia" w:ascii="黑体" w:hAnsi="黑体" w:eastAsia="黑体" w:cs="黑体"/>
          <w:sz w:val="28"/>
          <w:szCs w:val="28"/>
        </w:rPr>
        <w:t>并案提案1件：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left"/>
        <w:textAlignment w:val="auto"/>
        <w:rPr>
          <w:rFonts w:hint="eastAsia"/>
          <w:sz w:val="28"/>
          <w:szCs w:val="28"/>
        </w:rPr>
      </w:pPr>
      <w:r>
        <w:rPr>
          <w:rFonts w:hint="eastAsia"/>
          <w:sz w:val="28"/>
          <w:szCs w:val="28"/>
        </w:rPr>
        <w:t>关于校园运动场地向社会公众开放试点的建议（吴志峰）</w:t>
      </w:r>
    </w:p>
    <w:p>
      <w:pPr>
        <w:pStyle w:val="4"/>
        <w:spacing w:line="900" w:lineRule="atLeast"/>
        <w:jc w:val="center"/>
        <w:rPr>
          <w:rFonts w:ascii="方正小标宋简体" w:eastAsia="方正小标宋简体"/>
          <w:sz w:val="36"/>
          <w:szCs w:val="36"/>
        </w:rPr>
      </w:pPr>
      <w:r>
        <w:rPr>
          <w:rFonts w:hint="eastAsia"/>
        </w:rPr>
        <w:br w:type="page"/>
      </w:r>
      <w:r>
        <w:rPr>
          <w:rFonts w:hint="eastAsia" w:ascii="方正小标宋简体" w:eastAsia="方正小标宋简体"/>
          <w:sz w:val="36"/>
          <w:szCs w:val="36"/>
        </w:rPr>
        <w:t>关于解决学校体</w:t>
      </w:r>
      <w:bookmarkStart w:id="1" w:name="_GoBack"/>
      <w:bookmarkEnd w:id="1"/>
      <w:r>
        <w:rPr>
          <w:rFonts w:hint="eastAsia" w:ascii="方正小标宋简体" w:eastAsia="方正小标宋简体"/>
          <w:sz w:val="36"/>
          <w:szCs w:val="36"/>
        </w:rPr>
        <w:t>育设施对外开放难的提案</w:t>
      </w:r>
    </w:p>
    <w:p>
      <w:pPr>
        <w:pStyle w:val="4"/>
        <w:spacing w:line="600" w:lineRule="atLeast"/>
        <w:jc w:val="center"/>
        <w:rPr>
          <w:rFonts w:ascii="楷体" w:hAnsi="楷体" w:eastAsia="楷体"/>
          <w:sz w:val="30"/>
          <w:szCs w:val="30"/>
        </w:rPr>
      </w:pPr>
      <w:r>
        <w:rPr>
          <w:rFonts w:hint="eastAsia" w:ascii="楷体" w:hAnsi="楷体" w:eastAsia="楷体"/>
          <w:sz w:val="30"/>
          <w:szCs w:val="30"/>
        </w:rPr>
        <w:t>提案者 郑露茜</w:t>
      </w:r>
    </w:p>
    <w:p>
      <w:pPr>
        <w:pStyle w:val="4"/>
        <w:spacing w:before="0" w:beforeAutospacing="0" w:after="0" w:afterAutospacing="0" w:line="558" w:lineRule="atLeast"/>
        <w:ind w:firstLine="560" w:firstLineChars="200"/>
        <w:jc w:val="both"/>
        <w:rPr>
          <w:sz w:val="28"/>
          <w:szCs w:val="28"/>
        </w:rPr>
      </w:pPr>
      <w:r>
        <w:rPr>
          <w:rFonts w:hint="eastAsia"/>
          <w:sz w:val="28"/>
          <w:szCs w:val="28"/>
        </w:rPr>
        <w:t>2009年8月，国务院常务会议通过《全民健身条例》明确规定“学校应当在课余时间和节假日向学生开放体育设施。公办学校应当积极创造条件向公众开放体育设施；国家鼓励民办学校向公众开放体育设施。”2017年3月教育部会同体育总局印发《关于推进学校体育场馆向社会开放的实施意见》，确定学校体育场馆向社会开放应坚持“政府统筹，多方参与”“因地制宜，有序推进”“校内优先，安全为重”“服务公众，体现公益”原则。2019年9月，中共中央、国务院印发《关于深化教育教学改革全面提高义务教育质量的意见》，明确提出鼓励地方向学生免费或优惠开放公共运动场所。我市于2017年就正式启动了中小学体育场地免费向社会开放试点工作，对于不断满足社会公众日益增长的健身需求与体育场地资源不足和不均衡之间的矛盾，推动全民健身活动深入开展，具有极大的示范作用。但近几年来，在具体运行过程中，也暴露出部分问题，突出表现在：</w:t>
      </w:r>
    </w:p>
    <w:p>
      <w:pPr>
        <w:pStyle w:val="4"/>
        <w:spacing w:before="0" w:beforeAutospacing="0" w:after="0" w:afterAutospacing="0" w:line="558" w:lineRule="atLeast"/>
        <w:ind w:firstLine="560" w:firstLineChars="200"/>
        <w:jc w:val="both"/>
        <w:rPr>
          <w:sz w:val="28"/>
          <w:szCs w:val="28"/>
        </w:rPr>
      </w:pPr>
      <w:r>
        <w:rPr>
          <w:rFonts w:hint="eastAsia"/>
          <w:sz w:val="28"/>
          <w:szCs w:val="28"/>
        </w:rPr>
        <w:t>一是疫情突发打断开放。受新冠疫情影响，考虑到学校教学、生活秩序和师生安全，很多学校的开放工作暂时停止，但疫情稳定后的恢复开放工作不尽如人意。</w:t>
      </w:r>
    </w:p>
    <w:p>
      <w:pPr>
        <w:pStyle w:val="4"/>
        <w:spacing w:before="0" w:beforeAutospacing="0" w:after="0" w:afterAutospacing="0" w:line="558" w:lineRule="atLeast"/>
        <w:ind w:firstLine="560" w:firstLineChars="200"/>
        <w:jc w:val="both"/>
        <w:rPr>
          <w:sz w:val="28"/>
          <w:szCs w:val="28"/>
        </w:rPr>
      </w:pPr>
      <w:r>
        <w:rPr>
          <w:rFonts w:hint="eastAsia"/>
          <w:sz w:val="28"/>
          <w:szCs w:val="28"/>
        </w:rPr>
        <w:t>二是安全问题存在担忧。学校既担心社会成员进入学校体育场馆后危害到学生的人身安全和学校的财产安全，也担心社会成员在运动时发生事故。</w:t>
      </w:r>
    </w:p>
    <w:p>
      <w:pPr>
        <w:pStyle w:val="4"/>
        <w:spacing w:before="0" w:beforeAutospacing="0" w:after="0" w:afterAutospacing="0" w:line="558" w:lineRule="atLeast"/>
        <w:ind w:firstLine="560" w:firstLineChars="200"/>
        <w:jc w:val="both"/>
        <w:rPr>
          <w:sz w:val="28"/>
          <w:szCs w:val="28"/>
        </w:rPr>
      </w:pPr>
      <w:r>
        <w:rPr>
          <w:rFonts w:hint="eastAsia"/>
          <w:sz w:val="28"/>
          <w:szCs w:val="28"/>
        </w:rPr>
        <w:t>三是管理维护措施缺失。正常开放后，在日常管理、配套设备、器材维护、安全保险等方面管理成本激增，无有效的配套措施作保障。目前学校生均公用经费不能满足需求，即使有一定补贴，仍难以完全覆盖学校开放场地所需成本。</w:t>
      </w:r>
    </w:p>
    <w:p>
      <w:pPr>
        <w:pStyle w:val="4"/>
        <w:spacing w:before="0" w:beforeAutospacing="0" w:after="0" w:afterAutospacing="0" w:line="558" w:lineRule="atLeast"/>
        <w:ind w:firstLine="560" w:firstLineChars="200"/>
        <w:jc w:val="both"/>
        <w:rPr>
          <w:sz w:val="28"/>
          <w:szCs w:val="28"/>
        </w:rPr>
      </w:pPr>
      <w:r>
        <w:rPr>
          <w:rFonts w:hint="eastAsia"/>
          <w:sz w:val="28"/>
          <w:szCs w:val="28"/>
        </w:rPr>
        <w:t>四是舆论氛围不够浓厚。体育场地设施向社会开放工作是一项利民工程，需广泛宣传，引导市民文明锻炼，在全社会形成浓厚氛围。</w:t>
      </w:r>
    </w:p>
    <w:p>
      <w:pPr>
        <w:pStyle w:val="4"/>
        <w:spacing w:before="0" w:beforeAutospacing="0" w:after="0" w:afterAutospacing="0" w:line="558" w:lineRule="atLeast"/>
        <w:ind w:firstLine="560" w:firstLineChars="200"/>
        <w:jc w:val="both"/>
        <w:rPr>
          <w:sz w:val="28"/>
          <w:szCs w:val="28"/>
        </w:rPr>
      </w:pPr>
      <w:r>
        <w:rPr>
          <w:rFonts w:hint="eastAsia"/>
          <w:sz w:val="28"/>
          <w:szCs w:val="28"/>
        </w:rPr>
        <w:t>为此，建议：</w:t>
      </w:r>
    </w:p>
    <w:p>
      <w:pPr>
        <w:pStyle w:val="4"/>
        <w:spacing w:before="0" w:beforeAutospacing="0" w:after="0" w:afterAutospacing="0" w:line="558" w:lineRule="atLeast"/>
        <w:ind w:firstLine="560" w:firstLineChars="200"/>
        <w:jc w:val="both"/>
        <w:rPr>
          <w:sz w:val="28"/>
          <w:szCs w:val="28"/>
        </w:rPr>
      </w:pPr>
      <w:r>
        <w:rPr>
          <w:rFonts w:hint="eastAsia"/>
          <w:sz w:val="28"/>
          <w:szCs w:val="28"/>
        </w:rPr>
        <w:t>一、加强顶层设计,出台相应法律、法规、政策。在国家层面，学校体育场馆向社会开放虽有政策依据，但并非法律义务。建议市里相关部门进行可行性调研，出台关于开放方式、管理模式、责任认定、资金支持、卫生保洁、场地维护等相关的法律、法规、政策性文件。</w:t>
      </w:r>
    </w:p>
    <w:p>
      <w:pPr>
        <w:pStyle w:val="4"/>
        <w:spacing w:before="0" w:beforeAutospacing="0" w:after="0" w:afterAutospacing="0" w:line="558" w:lineRule="atLeast"/>
        <w:ind w:firstLine="560" w:firstLineChars="200"/>
        <w:jc w:val="both"/>
        <w:rPr>
          <w:sz w:val="28"/>
          <w:szCs w:val="28"/>
        </w:rPr>
      </w:pPr>
      <w:r>
        <w:rPr>
          <w:rFonts w:hint="eastAsia"/>
          <w:sz w:val="28"/>
          <w:szCs w:val="28"/>
        </w:rPr>
        <w:t>二、建立健全联动机制，推进学校体育设施对外开放的风险防控。各开放学校严格落实信息公开、安全管理、卫生防疫等的前提下，协调宣传、公安、卫健、医疗、社区、街道等部门建立健全安全保卫机制。针对体育器材设施及场地的安全风险进行分类管理，防范和消除安全隐患。推动属地政府部门为开放学校购买专项责任保险，鼓励引导学校、社会组织、企事业单位和个人购买运动伤害类保险，免去学校的后顾之忧。</w:t>
      </w:r>
    </w:p>
    <w:p>
      <w:pPr>
        <w:pStyle w:val="4"/>
        <w:spacing w:before="0" w:beforeAutospacing="0" w:after="0" w:afterAutospacing="0" w:line="558" w:lineRule="atLeast"/>
        <w:ind w:firstLine="560" w:firstLineChars="200"/>
        <w:jc w:val="both"/>
        <w:rPr>
          <w:sz w:val="28"/>
          <w:szCs w:val="28"/>
        </w:rPr>
      </w:pPr>
      <w:r>
        <w:rPr>
          <w:rFonts w:hint="eastAsia"/>
          <w:sz w:val="28"/>
          <w:szCs w:val="28"/>
        </w:rPr>
        <w:t>三、积极探索学校体育设施对外开放的新模式。政府应发挥主导作用，对学校场地设施科学规划，明确学校健身场地设施对外开放的责任和权利、管理模式、开放对象、开放时间、收费内容及标准等，出台开放治安管理和安全保障工作办法或条例。鼓励社会力量通过竞标等方式对学校体育场馆开放进行市场化、专业化运营，为开放对象提供优质、低价或免费的服务。</w:t>
      </w:r>
    </w:p>
    <w:p>
      <w:pPr>
        <w:pStyle w:val="4"/>
        <w:spacing w:before="0" w:beforeAutospacing="0" w:after="0" w:afterAutospacing="0" w:line="558" w:lineRule="atLeast"/>
        <w:ind w:firstLine="560" w:firstLineChars="200"/>
        <w:jc w:val="both"/>
        <w:rPr>
          <w:sz w:val="28"/>
          <w:szCs w:val="28"/>
        </w:rPr>
      </w:pPr>
      <w:r>
        <w:rPr>
          <w:rFonts w:hint="eastAsia"/>
          <w:sz w:val="28"/>
          <w:szCs w:val="28"/>
        </w:rPr>
        <w:t>四、要不断改善学校体育馆设施条件。在政府的主导下,社会、学校、个人联动起来，通过投资、冠名、合伙制、捐赠等形式参与学校体育场馆建设和开放工作，充分发挥其在资金、技术、项目、运营、评估等方面的优势。对健身者实行“有偿开放”，收取小额费用，用于补贴体育场馆的经营管理，确保学校体育场馆的顺利开放。</w:t>
      </w:r>
    </w:p>
    <w:p>
      <w:pPr>
        <w:pStyle w:val="4"/>
        <w:spacing w:before="0" w:beforeAutospacing="0" w:after="0" w:afterAutospacing="0" w:line="558" w:lineRule="atLeast"/>
        <w:ind w:firstLine="560" w:firstLineChars="200"/>
        <w:jc w:val="both"/>
        <w:rPr>
          <w:sz w:val="28"/>
          <w:szCs w:val="28"/>
        </w:rPr>
      </w:pPr>
      <w:r>
        <w:rPr>
          <w:rFonts w:hint="eastAsia"/>
          <w:sz w:val="28"/>
          <w:szCs w:val="28"/>
        </w:rPr>
        <w:t>五、积极筹措财政资金，确保开放安全管理。在政策范围内采取必要激励机制，市、区层面要落实财政资金投入，并将开放学校体育场地设施维护费等纳入部门预算，积极筹措财政资金用于物理隔离或电子围栏视频监控系统安装、灯光照明设施安装及场地责任保险购买等，确保学校体育场地设施向社会开放工作安全、平稳、有序运行。</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3402"/>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2268" w:type="dxa"/>
            <w:vMerge w:val="restart"/>
            <w:vAlign w:val="center"/>
          </w:tcPr>
          <w:p>
            <w:pPr>
              <w:widowControl w:val="0"/>
              <w:jc w:val="center"/>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审查意见</w:t>
            </w: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方正小标宋简体" w:eastAsia="方正小标宋简体"/>
                <w:color w:val="FF0000"/>
                <w:sz w:val="52"/>
                <w:szCs w:val="52"/>
              </w:rPr>
              <w:t>立案</w:t>
            </w:r>
          </w:p>
        </w:tc>
        <w:tc>
          <w:tcPr>
            <w:tcW w:w="3402" w:type="dxa"/>
            <w:vMerge w:val="restart"/>
            <w:vAlign w:val="center"/>
          </w:tcPr>
          <w:p>
            <w:pPr>
              <w:widowControl w:val="0"/>
              <w:jc w:val="center"/>
              <w:rPr>
                <w:rFonts w:hint="eastAsia" w:ascii="黑体" w:hAnsi="黑体" w:eastAsia="黑体" w:cs="黑体"/>
                <w:sz w:val="28"/>
                <w:szCs w:val="28"/>
                <w:vertAlign w:val="baseline"/>
              </w:rPr>
            </w:pPr>
            <w:r>
              <w:rPr>
                <w:rFonts w:hint="default"/>
              </w:rPr>
              <w:drawing>
                <wp:inline distT="0" distB="0" distL="114300" distR="114300">
                  <wp:extent cx="1522730" cy="1511935"/>
                  <wp:effectExtent l="0" t="0" r="4445" b="7620"/>
                  <wp:docPr id="4" name="图片 4" descr="微信图片_2022080815290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微信图片_20220808152900"/>
                          <pic:cNvPicPr>
                            <a:picLocks noChangeAspect="true"/>
                          </pic:cNvPicPr>
                        </pic:nvPicPr>
                        <pic:blipFill>
                          <a:blip r:embed="rId5">
                            <a:clrChange>
                              <a:clrFrom>
                                <a:srgbClr val="FFFFFF">
                                  <a:alpha val="100000"/>
                                </a:srgbClr>
                              </a:clrFrom>
                              <a:clrTo>
                                <a:srgbClr val="FFFFFF">
                                  <a:alpha val="100000"/>
                                  <a:alpha val="0"/>
                                </a:srgbClr>
                              </a:clrTo>
                            </a:clrChange>
                          </a:blip>
                          <a:stretch>
                            <a:fillRect/>
                          </a:stretch>
                        </pic:blipFill>
                        <pic:spPr>
                          <a:xfrm>
                            <a:off x="0" y="0"/>
                            <a:ext cx="1522730" cy="15119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268" w:type="dxa"/>
            <w:vMerge w:val="continue"/>
            <w:vAlign w:val="center"/>
          </w:tcPr>
          <w:p>
            <w:pPr>
              <w:widowControl w:val="0"/>
              <w:jc w:val="center"/>
            </w:pP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仿宋" w:hAnsi="仿宋" w:eastAsia="仿宋"/>
                <w:sz w:val="28"/>
                <w:szCs w:val="28"/>
              </w:rPr>
              <w:t>时间: 2024年01月</w:t>
            </w:r>
            <w:r>
              <w:rPr>
                <w:rFonts w:hint="eastAsia" w:ascii="仿宋" w:hAnsi="仿宋" w:eastAsia="仿宋"/>
                <w:sz w:val="28"/>
                <w:szCs w:val="28"/>
                <w:lang w:val="en-US" w:eastAsia="zh-CN"/>
              </w:rPr>
              <w:t>16</w:t>
            </w:r>
            <w:r>
              <w:rPr>
                <w:rFonts w:hint="eastAsia" w:ascii="仿宋" w:hAnsi="仿宋" w:eastAsia="仿宋"/>
                <w:sz w:val="28"/>
                <w:szCs w:val="28"/>
              </w:rPr>
              <w:t>日</w:t>
            </w:r>
          </w:p>
        </w:tc>
        <w:tc>
          <w:tcPr>
            <w:tcW w:w="3402" w:type="dxa"/>
            <w:vMerge w:val="continue"/>
            <w:vAlign w:val="center"/>
          </w:tcPr>
          <w:p>
            <w:pPr>
              <w:widowControl w:val="0"/>
              <w:jc w:val="center"/>
              <w:rPr>
                <w:rFonts w:hint="eastAsia" w:ascii="黑体" w:hAnsi="黑体" w:eastAsia="黑体" w:cs="黑体"/>
                <w:sz w:val="28"/>
                <w:szCs w:val="28"/>
                <w:vertAlign w:val="baseline"/>
              </w:rPr>
            </w:pPr>
          </w:p>
        </w:tc>
      </w:tr>
    </w:tbl>
    <w:p>
      <w:pPr>
        <w:jc w:val="both"/>
      </w:pPr>
    </w:p>
    <w:p>
      <w:pPr>
        <w:jc w:val="both"/>
      </w:pPr>
    </w:p>
    <w:sectPr>
      <w:footerReference r:id="rId3" w:type="default"/>
      <w:pgSz w:w="11906" w:h="16838"/>
      <w:pgMar w:top="1701" w:right="1417" w:bottom="1701" w:left="1417"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方正小标宋简体">
    <w:panose1 w:val="02000000000000000000"/>
    <w:charset w:val="86"/>
    <w:family w:val="roman"/>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康海报体W12(P)">
    <w:panose1 w:val="040B0C00000000000000"/>
    <w:charset w:val="86"/>
    <w:family w:val="auto"/>
    <w:pitch w:val="default"/>
    <w:sig w:usb0="00000001" w:usb1="08010000" w:usb2="0000001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noPunctuationKerning w:val="true"/>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NGZmYzNlOTRkZDI3MzZjYTIyYmJmODI1NjM5NjAifQ=="/>
  </w:docVars>
  <w:rsids>
    <w:rsidRoot w:val="000C4460"/>
    <w:rsid w:val="00084BB7"/>
    <w:rsid w:val="0009357C"/>
    <w:rsid w:val="000A06FB"/>
    <w:rsid w:val="000C4460"/>
    <w:rsid w:val="00144B47"/>
    <w:rsid w:val="001B1D35"/>
    <w:rsid w:val="001D799F"/>
    <w:rsid w:val="00330D95"/>
    <w:rsid w:val="003744B1"/>
    <w:rsid w:val="00391A0C"/>
    <w:rsid w:val="003F2551"/>
    <w:rsid w:val="00475F44"/>
    <w:rsid w:val="00562D98"/>
    <w:rsid w:val="0057224B"/>
    <w:rsid w:val="006610D3"/>
    <w:rsid w:val="00672C44"/>
    <w:rsid w:val="006901D5"/>
    <w:rsid w:val="006C5E8B"/>
    <w:rsid w:val="00707165"/>
    <w:rsid w:val="00710C43"/>
    <w:rsid w:val="007413BC"/>
    <w:rsid w:val="007772EB"/>
    <w:rsid w:val="00821DDB"/>
    <w:rsid w:val="008D2233"/>
    <w:rsid w:val="00964F3E"/>
    <w:rsid w:val="009F136F"/>
    <w:rsid w:val="00A4193E"/>
    <w:rsid w:val="00B41404"/>
    <w:rsid w:val="00B60292"/>
    <w:rsid w:val="00BF266F"/>
    <w:rsid w:val="00BF6E60"/>
    <w:rsid w:val="00C146B3"/>
    <w:rsid w:val="00D207E9"/>
    <w:rsid w:val="00D45694"/>
    <w:rsid w:val="00DC2F22"/>
    <w:rsid w:val="00E91D71"/>
    <w:rsid w:val="00EB2659"/>
    <w:rsid w:val="00F05D00"/>
    <w:rsid w:val="00F35EB1"/>
    <w:rsid w:val="00F765A3"/>
    <w:rsid w:val="00FA6583"/>
    <w:rsid w:val="29EE5A76"/>
    <w:rsid w:val="7EB70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msonormal"/>
    <w:basedOn w:val="1"/>
    <w:qFormat/>
    <w:uiPriority w:val="99"/>
    <w:pPr>
      <w:spacing w:before="100" w:beforeAutospacing="1" w:after="100" w:afterAutospacing="1"/>
    </w:pPr>
  </w:style>
  <w:style w:type="character" w:customStyle="1" w:styleId="9">
    <w:name w:val="页眉 字符"/>
    <w:basedOn w:val="7"/>
    <w:link w:val="3"/>
    <w:qFormat/>
    <w:uiPriority w:val="99"/>
    <w:rPr>
      <w:rFonts w:ascii="宋体" w:hAnsi="宋体" w:eastAsia="宋体" w:cs="宋体"/>
      <w:sz w:val="18"/>
      <w:szCs w:val="18"/>
    </w:rPr>
  </w:style>
  <w:style w:type="character" w:customStyle="1" w:styleId="10">
    <w:name w:val="页脚 字符"/>
    <w:basedOn w:val="7"/>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Words>
  <Characters>455</Characters>
  <Lines>3</Lines>
  <Paragraphs>1</Paragraphs>
  <TotalTime>0</TotalTime>
  <ScaleCrop>false</ScaleCrop>
  <LinksUpToDate>false</LinksUpToDate>
  <CharactersWithSpaces>533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2021-10-09T19:38:00Z</dcterms:created>
  <dc:creator>2013143581@qq.com</dc:creator>
  <cp:lastModifiedBy>提案委韦颖华</cp:lastModifiedBy>
  <dcterms:modified xsi:type="dcterms:W3CDTF">2024-02-01T11:34:23Z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2FCA2F830ED64EBCB480F50D6E8EB656_12</vt:lpwstr>
  </property>
</Properties>
</file>