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ascii="方正小标宋简体" w:eastAsia="方正小标宋简体"/>
          <w:sz w:val="44"/>
          <w:szCs w:val="44"/>
        </w:rPr>
        <w:t>柳州市第十</w:t>
      </w:r>
      <w:r>
        <w:rPr>
          <w:rFonts w:hint="eastAsia" w:ascii="方正小标宋简体" w:eastAsia="方正小标宋简体"/>
          <w:sz w:val="44"/>
          <w:szCs w:val="44"/>
        </w:rPr>
        <w:t>五</w:t>
      </w:r>
      <w:r>
        <w:rPr>
          <w:rFonts w:ascii="方正小标宋简体" w:eastAsia="方正小标宋简体"/>
          <w:sz w:val="44"/>
          <w:szCs w:val="44"/>
        </w:rPr>
        <w:t>届人民代表大会第</w:t>
      </w:r>
      <w:r>
        <w:rPr>
          <w:rFonts w:hint="eastAsia" w:ascii="方正小标宋简体" w:eastAsia="方正小标宋简体"/>
          <w:sz w:val="44"/>
          <w:szCs w:val="44"/>
        </w:rPr>
        <w:t>五</w:t>
      </w:r>
      <w:r>
        <w:rPr>
          <w:rFonts w:ascii="方正小标宋简体" w:eastAsia="方正小标宋简体"/>
          <w:sz w:val="44"/>
          <w:szCs w:val="44"/>
        </w:rPr>
        <w:t>次会议</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代表建议、批评和意见</w:t>
      </w:r>
    </w:p>
    <w:p>
      <w:pPr>
        <w:spacing w:line="560" w:lineRule="exact"/>
        <w:jc w:val="center"/>
        <w:rPr>
          <w:rFonts w:ascii="方正小标宋简体" w:eastAsia="方正小标宋简体"/>
          <w:sz w:val="32"/>
          <w:szCs w:val="32"/>
        </w:rPr>
      </w:pPr>
      <w:r>
        <w:rPr>
          <w:rFonts w:hint="eastAsia" w:ascii="方正小标宋简体" w:eastAsia="方正小标宋简体"/>
          <w:sz w:val="32"/>
          <w:szCs w:val="32"/>
        </w:rPr>
        <w:t>第</w:t>
      </w:r>
      <w:r>
        <w:rPr>
          <w:rFonts w:hint="eastAsia" w:ascii="方正小标宋简体" w:eastAsia="方正小标宋简体"/>
          <w:sz w:val="32"/>
          <w:szCs w:val="32"/>
          <w:lang w:val="en-US" w:eastAsia="zh-CN"/>
        </w:rPr>
        <w:t>114</w:t>
      </w:r>
      <w:bookmarkStart w:id="0" w:name="_GoBack"/>
      <w:bookmarkEnd w:id="0"/>
      <w:r>
        <w:rPr>
          <w:rFonts w:hint="eastAsia" w:ascii="方正小标宋简体" w:eastAsia="方正小标宋简体"/>
          <w:sz w:val="32"/>
          <w:szCs w:val="32"/>
        </w:rPr>
        <w:t>号</w:t>
      </w:r>
    </w:p>
    <w:p>
      <w:pPr>
        <w:spacing w:line="560" w:lineRule="exact"/>
        <w:jc w:val="right"/>
        <w:rPr>
          <w:rFonts w:ascii="方正小标宋简体" w:eastAsia="方正小标宋简体"/>
          <w:sz w:val="44"/>
          <w:szCs w:val="44"/>
        </w:rPr>
      </w:pPr>
      <w:r>
        <w:rPr>
          <w:rFonts w:hint="eastAsia" w:ascii="仿宋_GB2312" w:eastAsia="仿宋_GB2312"/>
          <w:b/>
          <w:sz w:val="32"/>
          <w:szCs w:val="32"/>
        </w:rPr>
        <w:t>类别：农业农村</w:t>
      </w:r>
    </w:p>
    <w:tbl>
      <w:tblPr>
        <w:tblStyle w:val="7"/>
        <w:tblW w:w="96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283"/>
        <w:gridCol w:w="284"/>
        <w:gridCol w:w="1417"/>
        <w:gridCol w:w="1560"/>
        <w:gridCol w:w="1558"/>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建议标题</w:t>
            </w:r>
          </w:p>
        </w:tc>
        <w:tc>
          <w:tcPr>
            <w:tcW w:w="8092" w:type="dxa"/>
            <w:gridSpan w:val="6"/>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关于协调解决游山村和法山村饮水问题的建议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552"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领衔代表</w:t>
            </w:r>
          </w:p>
        </w:tc>
        <w:tc>
          <w:tcPr>
            <w:tcW w:w="1283"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蒙峰舟</w:t>
            </w:r>
          </w:p>
        </w:tc>
        <w:tc>
          <w:tcPr>
            <w:tcW w:w="1701" w:type="dxa"/>
            <w:gridSpan w:val="2"/>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代表证号</w:t>
            </w:r>
          </w:p>
        </w:tc>
        <w:tc>
          <w:tcPr>
            <w:tcW w:w="1560"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291</w:t>
            </w:r>
          </w:p>
        </w:tc>
        <w:tc>
          <w:tcPr>
            <w:tcW w:w="1558"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联系电话</w:t>
            </w:r>
          </w:p>
        </w:tc>
        <w:tc>
          <w:tcPr>
            <w:tcW w:w="1990"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19167006630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通讯地址</w:t>
            </w:r>
          </w:p>
        </w:tc>
        <w:tc>
          <w:tcPr>
            <w:tcW w:w="4544" w:type="dxa"/>
            <w:gridSpan w:val="4"/>
            <w:vAlign w:val="center"/>
          </w:tcPr>
          <w:p>
            <w:pPr>
              <w:spacing w:line="560" w:lineRule="exact"/>
              <w:rPr>
                <w:rFonts w:ascii="仿宋_GB2312" w:eastAsia="仿宋_GB2312"/>
                <w:b/>
                <w:sz w:val="32"/>
                <w:szCs w:val="32"/>
              </w:rPr>
            </w:pPr>
            <w:r>
              <w:rPr>
                <w:rFonts w:hint="eastAsia" w:ascii="仿宋_GB2312" w:eastAsia="仿宋_GB2312"/>
                <w:b/>
                <w:sz w:val="32"/>
                <w:szCs w:val="32"/>
              </w:rPr>
              <w:t>柳州市洛园路16号之一</w:t>
            </w:r>
          </w:p>
        </w:tc>
        <w:tc>
          <w:tcPr>
            <w:tcW w:w="1558"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邮政编码</w:t>
            </w:r>
          </w:p>
        </w:tc>
        <w:tc>
          <w:tcPr>
            <w:tcW w:w="1990"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545000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附议代表</w:t>
            </w:r>
          </w:p>
        </w:tc>
        <w:tc>
          <w:tcPr>
            <w:tcW w:w="1567" w:type="dxa"/>
            <w:gridSpan w:val="2"/>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代表证号</w:t>
            </w:r>
          </w:p>
        </w:tc>
        <w:tc>
          <w:tcPr>
            <w:tcW w:w="4535" w:type="dxa"/>
            <w:gridSpan w:val="3"/>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通讯地址</w:t>
            </w:r>
          </w:p>
        </w:tc>
        <w:tc>
          <w:tcPr>
            <w:tcW w:w="1990" w:type="dxa"/>
            <w:vAlign w:val="center"/>
          </w:tcPr>
          <w:p>
            <w:pPr>
              <w:spacing w:line="560" w:lineRule="exact"/>
              <w:jc w:val="center"/>
              <w:rPr>
                <w:rFonts w:ascii="仿宋_GB2312" w:eastAsia="仿宋_GB2312"/>
                <w:b/>
                <w:sz w:val="32"/>
                <w:szCs w:val="32"/>
              </w:rPr>
            </w:pPr>
            <w:r>
              <w:rPr>
                <w:rFonts w:hint="eastAsia" w:ascii="仿宋_GB2312" w:eastAsia="仿宋_GB2312"/>
                <w:b/>
                <w:sz w:val="32"/>
                <w:szCs w:val="32"/>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60" w:lineRule="exact"/>
              <w:jc w:val="center"/>
              <w:rPr>
                <w:rFonts w:ascii="仿宋_GB2312" w:eastAsia="仿宋_GB2312"/>
                <w:b/>
                <w:sz w:val="32"/>
                <w:szCs w:val="32"/>
              </w:rPr>
            </w:pPr>
          </w:p>
        </w:tc>
        <w:tc>
          <w:tcPr>
            <w:tcW w:w="1567" w:type="dxa"/>
            <w:gridSpan w:val="2"/>
            <w:vAlign w:val="center"/>
          </w:tcPr>
          <w:p>
            <w:pPr>
              <w:spacing w:line="560" w:lineRule="exact"/>
              <w:jc w:val="center"/>
              <w:rPr>
                <w:rFonts w:ascii="仿宋_GB2312" w:eastAsia="仿宋_GB2312"/>
                <w:b/>
                <w:sz w:val="32"/>
                <w:szCs w:val="32"/>
              </w:rPr>
            </w:pPr>
          </w:p>
        </w:tc>
        <w:tc>
          <w:tcPr>
            <w:tcW w:w="4535" w:type="dxa"/>
            <w:gridSpan w:val="3"/>
            <w:vAlign w:val="center"/>
          </w:tcPr>
          <w:p>
            <w:pPr>
              <w:spacing w:line="560" w:lineRule="exact"/>
              <w:jc w:val="center"/>
              <w:rPr>
                <w:rFonts w:ascii="仿宋_GB2312" w:eastAsia="仿宋_GB2312"/>
                <w:b/>
                <w:sz w:val="32"/>
                <w:szCs w:val="32"/>
              </w:rPr>
            </w:pPr>
          </w:p>
        </w:tc>
        <w:tc>
          <w:tcPr>
            <w:tcW w:w="1990" w:type="dxa"/>
            <w:vAlign w:val="center"/>
          </w:tcPr>
          <w:p>
            <w:pPr>
              <w:spacing w:line="560" w:lineRule="exact"/>
              <w:jc w:val="center"/>
              <w:rPr>
                <w:rFonts w:ascii="仿宋_GB2312" w:eastAsia="仿宋_GB2312"/>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vAlign w:val="center"/>
          </w:tcPr>
          <w:p>
            <w:pPr>
              <w:spacing w:line="560" w:lineRule="exact"/>
              <w:jc w:val="center"/>
              <w:rPr>
                <w:rFonts w:ascii="仿宋_GB2312" w:eastAsia="仿宋_GB2312"/>
                <w:b/>
                <w:sz w:val="32"/>
                <w:szCs w:val="32"/>
              </w:rPr>
            </w:pPr>
          </w:p>
        </w:tc>
        <w:tc>
          <w:tcPr>
            <w:tcW w:w="1567" w:type="dxa"/>
            <w:gridSpan w:val="2"/>
            <w:vAlign w:val="center"/>
          </w:tcPr>
          <w:p>
            <w:pPr>
              <w:spacing w:line="560" w:lineRule="exact"/>
              <w:jc w:val="center"/>
              <w:rPr>
                <w:rFonts w:ascii="仿宋_GB2312" w:eastAsia="仿宋_GB2312"/>
                <w:b/>
                <w:sz w:val="32"/>
                <w:szCs w:val="32"/>
              </w:rPr>
            </w:pPr>
          </w:p>
        </w:tc>
        <w:tc>
          <w:tcPr>
            <w:tcW w:w="4535" w:type="dxa"/>
            <w:gridSpan w:val="3"/>
            <w:vAlign w:val="center"/>
          </w:tcPr>
          <w:p>
            <w:pPr>
              <w:spacing w:line="560" w:lineRule="exact"/>
              <w:jc w:val="center"/>
              <w:rPr>
                <w:rFonts w:ascii="仿宋_GB2312" w:eastAsia="仿宋_GB2312"/>
                <w:b/>
                <w:sz w:val="32"/>
                <w:szCs w:val="32"/>
              </w:rPr>
            </w:pPr>
          </w:p>
        </w:tc>
        <w:tc>
          <w:tcPr>
            <w:tcW w:w="1990" w:type="dxa"/>
            <w:vAlign w:val="center"/>
          </w:tcPr>
          <w:p>
            <w:pPr>
              <w:spacing w:line="560" w:lineRule="exact"/>
              <w:jc w:val="center"/>
              <w:rPr>
                <w:rFonts w:ascii="仿宋_GB2312" w:eastAsia="仿宋_GB2312"/>
                <w:b/>
                <w:sz w:val="32"/>
                <w:szCs w:val="32"/>
              </w:rPr>
            </w:pPr>
          </w:p>
        </w:tc>
      </w:tr>
    </w:tbl>
    <w:p>
      <w:pPr>
        <w:spacing w:line="580" w:lineRule="exact"/>
        <w:jc w:val="left"/>
        <w:rPr>
          <w:rFonts w:ascii="仿宋_GB2312" w:eastAsia="仿宋_GB2312"/>
          <w:b/>
          <w:sz w:val="32"/>
          <w:szCs w:val="32"/>
        </w:rPr>
      </w:pPr>
      <w:r>
        <w:rPr>
          <w:rFonts w:hint="eastAsia" w:ascii="仿宋_GB2312" w:eastAsia="仿宋_GB2312"/>
          <w:b/>
          <w:sz w:val="32"/>
          <w:szCs w:val="32"/>
        </w:rPr>
        <w:t>建议内容：</w:t>
      </w:r>
    </w:p>
    <w:p>
      <w:pPr>
        <w:pStyle w:val="2"/>
        <w:spacing w:line="580" w:lineRule="exact"/>
      </w:pPr>
    </w:p>
    <w:p>
      <w:pPr>
        <w:spacing w:line="580" w:lineRule="exact"/>
        <w:jc w:val="center"/>
        <w:rPr>
          <w:rFonts w:ascii="方正小标宋简体" w:eastAsia="方正小标宋简体"/>
          <w:sz w:val="36"/>
          <w:szCs w:val="36"/>
        </w:rPr>
      </w:pPr>
      <w:r>
        <w:rPr>
          <w:rFonts w:hint="eastAsia" w:ascii="方正小标宋简体" w:eastAsia="方正小标宋简体"/>
          <w:sz w:val="36"/>
          <w:szCs w:val="36"/>
        </w:rPr>
        <w:t>关于协调解决游山村和法山村饮水问题的建议</w:t>
      </w:r>
    </w:p>
    <w:p>
      <w:pPr>
        <w:pStyle w:val="2"/>
        <w:spacing w:line="580" w:lineRule="exact"/>
      </w:pPr>
    </w:p>
    <w:p>
      <w:pPr>
        <w:numPr>
          <w:ilvl w:val="0"/>
          <w:numId w:val="1"/>
        </w:num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事由</w:t>
      </w:r>
    </w:p>
    <w:p>
      <w:pPr>
        <w:spacing w:line="580" w:lineRule="exact"/>
        <w:ind w:firstLine="640" w:firstLineChars="200"/>
        <w:rPr>
          <w:rFonts w:eastAsia="黑体"/>
        </w:rPr>
      </w:pPr>
      <w:r>
        <w:rPr>
          <w:rFonts w:hint="eastAsia" w:ascii="仿宋_GB2312" w:eastAsia="仿宋_GB2312"/>
          <w:sz w:val="32"/>
          <w:szCs w:val="32"/>
        </w:rPr>
        <w:t>法山村、游山村是市郊的自然村屯，目前游山村约88户82栋房屋、法山村约66户65栋房屋，大部分村民仍居住在村子中。该村屯一直不通自来水，村民靠打井水来满足日常生活用水，饮用水多数靠购买桶装水或到附近通自来水的亲属朋友家拉水回来用，很不方便。2020年市人大代表曾提过改善两村饮水的建议，截至目前未得到解决。</w:t>
      </w:r>
    </w:p>
    <w:p>
      <w:pPr>
        <w:numPr>
          <w:ilvl w:val="0"/>
          <w:numId w:val="1"/>
        </w:num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分析原因，解决问题的必要性或依据</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法山村、游山村属于市郊，相对市区稍微偏远，之前因缺乏</w:t>
      </w:r>
      <w:r>
        <w:rPr>
          <w:rFonts w:ascii="仿宋_GB2312" w:eastAsia="仿宋_GB2312"/>
          <w:sz w:val="32"/>
          <w:szCs w:val="32"/>
        </w:rPr>
        <w:t>资金，</w:t>
      </w:r>
      <w:r>
        <w:rPr>
          <w:rFonts w:hint="eastAsia" w:ascii="仿宋_GB2312" w:eastAsia="仿宋_GB2312"/>
          <w:sz w:val="32"/>
          <w:szCs w:val="32"/>
        </w:rPr>
        <w:t>通自来水问题未得到落实和解决。</w:t>
      </w:r>
    </w:p>
    <w:p>
      <w:pPr>
        <w:pStyle w:val="2"/>
      </w:pPr>
    </w:p>
    <w:p>
      <w:pPr>
        <w:numPr>
          <w:ilvl w:val="0"/>
          <w:numId w:val="1"/>
        </w:numPr>
        <w:spacing w:line="580" w:lineRule="exact"/>
        <w:ind w:firstLine="640" w:firstLineChars="200"/>
        <w:rPr>
          <w:rFonts w:ascii="黑体" w:hAnsi="黑体" w:eastAsia="黑体" w:cs="黑体"/>
          <w:sz w:val="32"/>
          <w:szCs w:val="32"/>
        </w:rPr>
      </w:pPr>
      <w:r>
        <w:rPr>
          <w:rFonts w:hint="eastAsia" w:ascii="黑体" w:hAnsi="黑体" w:eastAsia="黑体" w:cs="黑体"/>
          <w:sz w:val="32"/>
          <w:szCs w:val="32"/>
        </w:rPr>
        <w:t>建议</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（一）目前，龙都公路已开工建设，据了解，此公路建设配套有自来水管道设施，希望能通过公路自来水管道铺设接入到村里</w:t>
      </w:r>
      <w:r>
        <w:rPr>
          <w:rFonts w:ascii="仿宋_GB2312" w:eastAsia="仿宋_GB2312"/>
          <w:sz w:val="32"/>
          <w:szCs w:val="32"/>
        </w:rPr>
        <w:t>解决村民缺水问题</w:t>
      </w:r>
      <w:r>
        <w:rPr>
          <w:rFonts w:hint="eastAsia" w:ascii="仿宋_GB2312" w:eastAsia="仿宋_GB2312"/>
          <w:sz w:val="32"/>
          <w:szCs w:val="32"/>
        </w:rPr>
        <w:t>。</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（二）督促市水务集团将自来水管道沿龙都公路一直铺设到村，按城市标准一户一表安装到每一户；</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（三）希望游山村、法山村在2024年6月份，能够实现铺设自来水管道，正常用上自来水，以解决这困扰已久的民生问题。</w:t>
      </w:r>
    </w:p>
    <w:p>
      <w:pPr>
        <w:spacing w:line="580" w:lineRule="exact"/>
        <w:ind w:firstLine="640" w:firstLineChars="200"/>
        <w:rPr>
          <w:rFonts w:ascii="仿宋_GB2312" w:eastAsia="仿宋_GB2312"/>
          <w:sz w:val="32"/>
          <w:szCs w:val="32"/>
        </w:rPr>
      </w:pPr>
    </w:p>
    <w:p>
      <w:pPr>
        <w:spacing w:line="580" w:lineRule="exact"/>
        <w:rPr>
          <w:sz w:val="32"/>
          <w:szCs w:val="32"/>
        </w:rPr>
      </w:pPr>
    </w:p>
    <w:sectPr>
      <w:pgSz w:w="11906" w:h="16838"/>
      <w:pgMar w:top="1134" w:right="1361"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AFC4FC"/>
    <w:multiLevelType w:val="singleLevel"/>
    <w:tmpl w:val="5BAFC4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hZjQzNDFhMzY1MTY1YjI0MmRkZTEyNDE1NTkyMTUifQ=="/>
  </w:docVars>
  <w:rsids>
    <w:rsidRoot w:val="00B51896"/>
    <w:rsid w:val="0016155B"/>
    <w:rsid w:val="00257938"/>
    <w:rsid w:val="0031185E"/>
    <w:rsid w:val="00366AC4"/>
    <w:rsid w:val="003A2E7B"/>
    <w:rsid w:val="0044425A"/>
    <w:rsid w:val="004C03A7"/>
    <w:rsid w:val="007D2AA6"/>
    <w:rsid w:val="00876D50"/>
    <w:rsid w:val="00A87943"/>
    <w:rsid w:val="00B370C4"/>
    <w:rsid w:val="00B51896"/>
    <w:rsid w:val="00E13DC8"/>
    <w:rsid w:val="00E2393D"/>
    <w:rsid w:val="00FC796B"/>
    <w:rsid w:val="046821CB"/>
    <w:rsid w:val="09047D11"/>
    <w:rsid w:val="09407D25"/>
    <w:rsid w:val="0A2D1587"/>
    <w:rsid w:val="129C3F56"/>
    <w:rsid w:val="1A411F4D"/>
    <w:rsid w:val="1A914743"/>
    <w:rsid w:val="206D6BB1"/>
    <w:rsid w:val="21187681"/>
    <w:rsid w:val="217D645B"/>
    <w:rsid w:val="21E6673E"/>
    <w:rsid w:val="227E692E"/>
    <w:rsid w:val="236C4B4E"/>
    <w:rsid w:val="269C3827"/>
    <w:rsid w:val="2C1B0D4A"/>
    <w:rsid w:val="2D6333A1"/>
    <w:rsid w:val="2E836910"/>
    <w:rsid w:val="3F0E7450"/>
    <w:rsid w:val="41603729"/>
    <w:rsid w:val="416C231C"/>
    <w:rsid w:val="425B4B5E"/>
    <w:rsid w:val="4A7E0E37"/>
    <w:rsid w:val="4B826EE0"/>
    <w:rsid w:val="4EF1270A"/>
    <w:rsid w:val="589C308F"/>
    <w:rsid w:val="58EC1F7E"/>
    <w:rsid w:val="58F033DB"/>
    <w:rsid w:val="5DB70023"/>
    <w:rsid w:val="5FB94285"/>
    <w:rsid w:val="69845BA5"/>
    <w:rsid w:val="6A6855AA"/>
    <w:rsid w:val="74786307"/>
    <w:rsid w:val="74AF7CA2"/>
    <w:rsid w:val="76D61835"/>
    <w:rsid w:val="77DD1994"/>
    <w:rsid w:val="78EF51FE"/>
    <w:rsid w:val="7A592736"/>
    <w:rsid w:val="7AFBE501"/>
    <w:rsid w:val="7C31272D"/>
    <w:rsid w:val="7F460DAF"/>
    <w:rsid w:val="7F54171E"/>
    <w:rsid w:val="7FC64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semiHidden/>
    <w:unhideWhenUsed/>
    <w:qFormat/>
    <w:uiPriority w:val="0"/>
    <w:rPr>
      <w:rFonts w:ascii="Arial" w:hAnsi="Arial" w:eastAsia="黑体"/>
      <w:sz w:val="20"/>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 w:type="character" w:customStyle="1" w:styleId="11">
    <w:name w:val="批注框文本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87</Words>
  <Characters>497</Characters>
  <Lines>4</Lines>
  <Paragraphs>1</Paragraphs>
  <TotalTime>39</TotalTime>
  <ScaleCrop>false</ScaleCrop>
  <LinksUpToDate>false</LinksUpToDate>
  <CharactersWithSpaces>583</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Lenovo</dc:creator>
  <cp:lastModifiedBy>gxxc</cp:lastModifiedBy>
  <cp:lastPrinted>2024-01-14T17:10:00Z</cp:lastPrinted>
  <dcterms:modified xsi:type="dcterms:W3CDTF">2024-01-29T20:00:19Z</dcterms:modified>
  <dc:title>柳州市第十四届人民代表大会第四次会议</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11F89A2EA5104793862A71CADA7F83B2</vt:lpwstr>
  </property>
</Properties>
</file>