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CellSpacing w:w="15" w:type="dxa"/>
        <w:tblInd w:w="0" w:type="dxa"/>
        <w:tblLayout w:type="autofit"/>
        <w:tblCellMar>
          <w:top w:w="0" w:type="dxa"/>
          <w:left w:w="0" w:type="dxa"/>
          <w:bottom w:w="0" w:type="dxa"/>
          <w:right w:w="0" w:type="dxa"/>
        </w:tblCellMar>
      </w:tblPr>
      <w:tblGrid>
        <w:gridCol w:w="1566"/>
        <w:gridCol w:w="2089"/>
        <w:gridCol w:w="1552"/>
        <w:gridCol w:w="1373"/>
        <w:gridCol w:w="2552"/>
      </w:tblGrid>
      <w:tr>
        <w:trPr>
          <w:tblCellSpacing w:w="15" w:type="dxa"/>
        </w:trPr>
        <w:tc>
          <w:tcPr>
            <w:tcW w:w="0" w:type="auto"/>
            <w:gridSpan w:val="5"/>
            <w:vAlign w:val="center"/>
          </w:tcPr>
          <w:p>
            <w:pPr>
              <w:spacing w:line="600" w:lineRule="atLeast"/>
              <w:jc w:val="center"/>
              <w:rPr>
                <w:rFonts w:ascii="方正小标宋简体" w:eastAsia="方正小标宋简体"/>
                <w:sz w:val="44"/>
                <w:szCs w:val="44"/>
              </w:rPr>
            </w:pPr>
            <w:r>
              <w:rPr>
                <w:rFonts w:hint="eastAsia" w:ascii="方正小标宋简体" w:eastAsia="方正小标宋简体"/>
                <w:color w:val="FF0000"/>
                <w:sz w:val="44"/>
                <w:szCs w:val="44"/>
              </w:rPr>
              <w:t>政协柳州市十三届四次会议第116号提案</w:t>
            </w:r>
            <w:r>
              <w:rPr>
                <w:rFonts w:hint="eastAsia" w:ascii="方正小标宋简体" w:eastAsia="方正小标宋简体"/>
                <w:sz w:val="44"/>
                <w:szCs w:val="44"/>
              </w:rPr>
              <w:t xml:space="preserve"> </w:t>
            </w:r>
          </w:p>
        </w:tc>
      </w:tr>
      <w:tr>
        <w:trPr>
          <w:tblCellSpacing w:w="15" w:type="dxa"/>
        </w:trPr>
        <w:tc>
          <w:tcPr>
            <w:tcW w:w="850" w:type="pct"/>
            <w:tcBorders>
              <w:top w:val="single" w:color="000000" w:sz="6" w:space="0"/>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hint="eastAsia" w:ascii="黑体" w:hAnsi="黑体" w:eastAsia="黑体"/>
                <w:sz w:val="28"/>
                <w:szCs w:val="28"/>
              </w:rPr>
            </w:pPr>
            <w:r>
              <w:rPr>
                <w:rFonts w:hint="eastAsia" w:ascii="黑体" w:hAnsi="黑体" w:eastAsia="黑体"/>
                <w:sz w:val="28"/>
                <w:szCs w:val="28"/>
              </w:rPr>
              <w:t>案 由</w:t>
            </w:r>
          </w:p>
          <w:p>
            <w:pPr>
              <w:jc w:val="center"/>
              <w:rPr>
                <w:rFonts w:ascii="黑体" w:hAnsi="黑体" w:eastAsia="黑体"/>
                <w:sz w:val="28"/>
                <w:szCs w:val="28"/>
              </w:rPr>
            </w:pPr>
            <w:r>
              <w:rPr>
                <w:rFonts w:hint="eastAsia" w:ascii="黑体" w:hAnsi="黑体" w:eastAsia="黑体"/>
                <w:sz w:val="28"/>
                <w:szCs w:val="28"/>
              </w:rPr>
              <w:t xml:space="preserve">(标题) </w:t>
            </w:r>
          </w:p>
        </w:tc>
        <w:tc>
          <w:tcPr>
            <w:tcW w:w="0" w:type="auto"/>
            <w:gridSpan w:val="4"/>
            <w:tcBorders>
              <w:top w:val="single" w:color="000000" w:sz="6" w:space="0"/>
              <w:left w:val="nil"/>
              <w:bottom w:val="single" w:color="000000" w:sz="6" w:space="0"/>
              <w:right w:val="single" w:color="000000" w:sz="6" w:space="0"/>
            </w:tcBorders>
            <w:tcMar>
              <w:top w:w="150" w:type="dxa"/>
              <w:left w:w="150" w:type="dxa"/>
              <w:bottom w:w="150" w:type="dxa"/>
              <w:right w:w="150" w:type="dxa"/>
            </w:tcMar>
            <w:vAlign w:val="center"/>
          </w:tcPr>
          <w:p>
            <w:pPr>
              <w:spacing w:line="375" w:lineRule="atLeast"/>
              <w:rPr>
                <w:rFonts w:ascii="仿宋" w:hAnsi="仿宋" w:eastAsia="仿宋"/>
                <w:sz w:val="28"/>
                <w:szCs w:val="28"/>
              </w:rPr>
            </w:pPr>
            <w:r>
              <w:rPr>
                <w:rFonts w:hint="eastAsia" w:ascii="仿宋" w:hAnsi="仿宋" w:eastAsia="仿宋"/>
                <w:sz w:val="28"/>
                <w:szCs w:val="28"/>
              </w:rPr>
              <w:t>关于加强农业结构调整，切实保护耕地的建议</w:t>
            </w:r>
          </w:p>
        </w:tc>
      </w:tr>
      <w:tr>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提案者 </w:t>
            </w:r>
          </w:p>
        </w:tc>
        <w:tc>
          <w:tcPr>
            <w:tcW w:w="11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spacing w:line="375" w:lineRule="atLeast"/>
              <w:jc w:val="center"/>
              <w:rPr>
                <w:rFonts w:ascii="仿宋" w:hAnsi="仿宋" w:eastAsia="仿宋"/>
                <w:sz w:val="28"/>
                <w:szCs w:val="28"/>
              </w:rPr>
            </w:pPr>
            <w:bookmarkStart w:id="0" w:name="_Hlk84699208"/>
            <w:r>
              <w:rPr>
                <w:rFonts w:hint="eastAsia" w:ascii="仿宋" w:hAnsi="仿宋" w:eastAsia="仿宋"/>
                <w:sz w:val="28"/>
                <w:szCs w:val="28"/>
              </w:rPr>
              <w:t>葛翔</w:t>
            </w:r>
            <w:bookmarkEnd w:id="0"/>
          </w:p>
        </w:tc>
        <w:tc>
          <w:tcPr>
            <w:tcW w:w="8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联系电话 </w:t>
            </w:r>
          </w:p>
        </w:tc>
        <w:tc>
          <w:tcPr>
            <w:tcW w:w="0" w:type="auto"/>
            <w:gridSpan w:val="2"/>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仿宋" w:hAnsi="仿宋" w:eastAsia="仿宋"/>
                <w:sz w:val="28"/>
                <w:szCs w:val="28"/>
              </w:rPr>
            </w:pPr>
            <w:r>
              <w:rPr>
                <w:rFonts w:hint="eastAsia" w:ascii="仿宋" w:hAnsi="仿宋" w:eastAsia="仿宋"/>
                <w:sz w:val="28"/>
                <w:szCs w:val="28"/>
              </w:rPr>
              <w:t xml:space="preserve">18978081515 </w:t>
            </w:r>
          </w:p>
        </w:tc>
      </w:tr>
      <w:tr>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单位及职务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wordWrap w:val="0"/>
              <w:spacing w:line="375" w:lineRule="atLeast"/>
              <w:rPr>
                <w:rFonts w:ascii="仿宋" w:hAnsi="仿宋" w:eastAsia="仿宋"/>
                <w:sz w:val="28"/>
                <w:szCs w:val="28"/>
              </w:rPr>
            </w:pPr>
            <w:r>
              <w:rPr>
                <w:rFonts w:hint="eastAsia" w:ascii="仿宋" w:hAnsi="仿宋" w:eastAsia="仿宋"/>
                <w:sz w:val="28"/>
                <w:szCs w:val="28"/>
              </w:rPr>
              <w:t>柳州市自然资源执法监察支队支队长</w:t>
            </w:r>
          </w:p>
        </w:tc>
      </w:tr>
      <w:tr>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地址及邮编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柳州市鱼峰区蝴蝶山路阳光花园28栋1单元11-2号（545000） </w:t>
            </w:r>
          </w:p>
        </w:tc>
      </w:tr>
      <w:tr>
        <w:trPr>
          <w:tblCellSpacing w:w="15" w:type="dxa"/>
        </w:trPr>
        <w:tc>
          <w:tcPr>
            <w:tcW w:w="850" w:type="pct"/>
            <w:tcBorders>
              <w:top w:val="nil"/>
              <w:left w:val="single" w:color="000000" w:sz="6" w:space="0"/>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是否涉密 </w:t>
            </w:r>
          </w:p>
        </w:tc>
        <w:tc>
          <w:tcPr>
            <w:tcW w:w="0" w:type="auto"/>
            <w:gridSpan w:val="2"/>
            <w:tcBorders>
              <w:top w:val="nil"/>
              <w:left w:val="nil"/>
              <w:bottom w:val="single" w:color="000000" w:sz="6" w:space="0"/>
              <w:right w:val="single" w:color="000000" w:sz="6" w:space="0"/>
            </w:tcBorders>
            <w:tcMar>
              <w:top w:w="300" w:type="dxa"/>
              <w:left w:w="150" w:type="dxa"/>
              <w:bottom w:w="30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否 </w:t>
            </w:r>
          </w:p>
        </w:tc>
        <w:tc>
          <w:tcPr>
            <w:tcW w:w="750" w:type="pct"/>
            <w:tcBorders>
              <w:top w:val="nil"/>
              <w:left w:val="nil"/>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是否公开 </w:t>
            </w:r>
          </w:p>
        </w:tc>
        <w:tc>
          <w:tcPr>
            <w:tcW w:w="0" w:type="auto"/>
            <w:tcBorders>
              <w:top w:val="nil"/>
              <w:left w:val="nil"/>
              <w:bottom w:val="single" w:color="000000" w:sz="6" w:space="0"/>
              <w:right w:val="single" w:color="000000" w:sz="6" w:space="0"/>
            </w:tcBorders>
            <w:tcMar>
              <w:top w:w="300" w:type="dxa"/>
              <w:left w:w="120" w:type="dxa"/>
              <w:bottom w:w="300" w:type="dxa"/>
              <w:right w:w="120" w:type="dxa"/>
            </w:tcMar>
            <w:vAlign w:val="center"/>
          </w:tcPr>
          <w:p>
            <w:pPr>
              <w:rPr>
                <w:rFonts w:ascii="仿宋" w:hAnsi="仿宋" w:eastAsia="仿宋"/>
                <w:sz w:val="28"/>
                <w:szCs w:val="28"/>
              </w:rPr>
            </w:pPr>
            <w:r>
              <w:rPr>
                <w:rFonts w:hint="eastAsia" w:ascii="仿宋" w:hAnsi="仿宋" w:eastAsia="仿宋"/>
                <w:sz w:val="28"/>
                <w:szCs w:val="28"/>
              </w:rPr>
              <w:t xml:space="preserve">是 </w:t>
            </w:r>
          </w:p>
        </w:tc>
      </w:tr>
      <w:tr>
        <w:trPr>
          <w:tblCellSpacing w:w="15" w:type="dxa"/>
        </w:trPr>
        <w:tc>
          <w:tcPr>
            <w:tcW w:w="850" w:type="pct"/>
            <w:vMerge w:val="restar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办理意见 </w:t>
            </w:r>
          </w:p>
        </w:tc>
        <w:tc>
          <w:tcPr>
            <w:tcW w:w="1100" w:type="pct"/>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主办单位 </w:t>
            </w:r>
          </w:p>
        </w:tc>
        <w:tc>
          <w:tcPr>
            <w:tcW w:w="0" w:type="auto"/>
            <w:gridSpan w:val="3"/>
            <w:tcBorders>
              <w:top w:val="nil"/>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rPr>
          <w:tblCellSpacing w:w="15" w:type="dxa"/>
        </w:trPr>
        <w:tc>
          <w:tcPr>
            <w:tcW w:w="0" w:type="auto"/>
            <w:vMerge w:val="continue"/>
            <w:tcBorders>
              <w:top w:val="nil"/>
              <w:left w:val="single" w:color="000000" w:sz="6" w:space="0"/>
              <w:bottom w:val="nil"/>
              <w:right w:val="single" w:color="000000" w:sz="6" w:space="0"/>
            </w:tcBorders>
            <w:vAlign w:val="center"/>
          </w:tcPr>
          <w:p>
            <w:pPr>
              <w:rPr>
                <w:rFonts w:ascii="黑体" w:hAnsi="黑体" w:eastAsia="黑体"/>
                <w:sz w:val="28"/>
                <w:szCs w:val="28"/>
              </w:rPr>
            </w:pPr>
          </w:p>
        </w:tc>
        <w:tc>
          <w:tcPr>
            <w:tcW w:w="1100" w:type="pct"/>
            <w:tcBorders>
              <w:top w:val="nil"/>
              <w:left w:val="nil"/>
              <w:bottom w:val="nil"/>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协办单位 </w:t>
            </w:r>
          </w:p>
        </w:tc>
        <w:tc>
          <w:tcPr>
            <w:tcW w:w="0" w:type="auto"/>
            <w:gridSpan w:val="3"/>
            <w:tcBorders>
              <w:top w:val="nil"/>
              <w:left w:val="nil"/>
              <w:bottom w:val="nil"/>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rPr>
          <w:tblCellSpacing w:w="15" w:type="dxa"/>
        </w:trPr>
        <w:tc>
          <w:tcPr>
            <w:tcW w:w="0" w:type="auto"/>
            <w:tcBorders>
              <w:top w:val="nil"/>
              <w:left w:val="single" w:color="000000" w:sz="6" w:space="0"/>
              <w:bottom w:val="single" w:color="auto" w:sz="4" w:space="0"/>
              <w:right w:val="single" w:color="000000" w:sz="6" w:space="0"/>
            </w:tcBorders>
            <w:vAlign w:val="center"/>
          </w:tcPr>
          <w:p>
            <w:pPr>
              <w:jc w:val="center"/>
              <w:rPr>
                <w:rFonts w:ascii="黑体" w:hAnsi="黑体" w:eastAsia="黑体"/>
                <w:sz w:val="28"/>
                <w:szCs w:val="28"/>
              </w:rPr>
            </w:pPr>
            <w:r>
              <w:rPr>
                <w:rFonts w:hint="eastAsia" w:ascii="黑体" w:hAnsi="黑体" w:eastAsia="黑体"/>
                <w:sz w:val="28"/>
                <w:szCs w:val="28"/>
              </w:rPr>
              <w:t>提案联系人</w:t>
            </w:r>
          </w:p>
        </w:tc>
        <w:tc>
          <w:tcPr>
            <w:tcW w:w="1100" w:type="pct"/>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p>
        </w:tc>
        <w:tc>
          <w:tcPr>
            <w:tcW w:w="0" w:type="auto"/>
            <w:gridSpan w:val="3"/>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p>
        </w:tc>
      </w:tr>
    </w:tbl>
    <w:p>
      <w:pPr>
        <w:rPr>
          <w:vanish/>
        </w:rPr>
      </w:pPr>
    </w:p>
    <w:tbl>
      <w:tblPr>
        <w:tblStyle w:val="5"/>
        <w:tblW w:w="5000" w:type="pct"/>
        <w:tblCellSpacing w:w="15" w:type="dxa"/>
        <w:tblInd w:w="0" w:type="dxa"/>
        <w:tblLayout w:type="autofit"/>
        <w:tblCellMar>
          <w:top w:w="0" w:type="dxa"/>
          <w:left w:w="0" w:type="dxa"/>
          <w:bottom w:w="0" w:type="dxa"/>
          <w:right w:w="0" w:type="dxa"/>
        </w:tblCellMar>
      </w:tblPr>
      <w:tblGrid>
        <w:gridCol w:w="3920"/>
        <w:gridCol w:w="4203"/>
        <w:gridCol w:w="100"/>
        <w:gridCol w:w="909"/>
      </w:tblGrid>
      <w:tr>
        <w:tblPrEx>
          <w:tblCellMar>
            <w:top w:w="0" w:type="dxa"/>
            <w:left w:w="0" w:type="dxa"/>
            <w:bottom w:w="0" w:type="dxa"/>
            <w:right w:w="0" w:type="dxa"/>
          </w:tblCellMar>
        </w:tblPrEx>
        <w:trPr>
          <w:tblCellSpacing w:w="15" w:type="dxa"/>
        </w:trPr>
        <w:tc>
          <w:tcPr>
            <w:tcW w:w="0" w:type="auto"/>
            <w:gridSpan w:val="4"/>
            <w:tcMar>
              <w:top w:w="300" w:type="dxa"/>
              <w:left w:w="0" w:type="dxa"/>
              <w:bottom w:w="0" w:type="dxa"/>
              <w:right w:w="0" w:type="dxa"/>
            </w:tcMar>
            <w:vAlign w:val="center"/>
          </w:tcPr>
          <w:p>
            <w:pPr>
              <w:spacing w:line="525" w:lineRule="atLeast"/>
              <w:jc w:val="center"/>
              <w:rPr>
                <w:rFonts w:ascii="方正小标宋简体" w:eastAsia="方正小标宋简体"/>
                <w:sz w:val="44"/>
                <w:szCs w:val="44"/>
              </w:rPr>
            </w:pPr>
            <w:r>
              <w:rPr>
                <w:rFonts w:hint="eastAsia" w:ascii="方正小标宋简体" w:eastAsia="方正小标宋简体"/>
                <w:sz w:val="44"/>
                <w:szCs w:val="44"/>
              </w:rPr>
              <w:t xml:space="preserve">联 名 者 </w:t>
            </w:r>
          </w:p>
        </w:tc>
      </w:tr>
      <w:tr>
        <w:tblPrEx>
          <w:tblCellMar>
            <w:top w:w="0" w:type="dxa"/>
            <w:left w:w="0" w:type="dxa"/>
            <w:bottom w:w="0" w:type="dxa"/>
            <w:right w:w="0" w:type="dxa"/>
          </w:tblCellMar>
        </w:tblPrEx>
        <w:trPr>
          <w:tblCellSpacing w:w="15" w:type="dxa"/>
        </w:trPr>
        <w:tc>
          <w:tcPr>
            <w:tcW w:w="21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ordWrap w:val="0"/>
              <w:jc w:val="center"/>
              <w:rPr>
                <w:rFonts w:ascii="仿宋" w:hAnsi="仿宋" w:eastAsia="仿宋"/>
                <w:sz w:val="28"/>
                <w:szCs w:val="28"/>
              </w:rPr>
            </w:pPr>
            <w:r>
              <w:rPr>
                <w:rFonts w:hint="eastAsia" w:ascii="仿宋" w:hAnsi="仿宋" w:eastAsia="仿宋"/>
                <w:sz w:val="28"/>
                <w:szCs w:val="28"/>
              </w:rPr>
              <w:t xml:space="preserve">联名者姓名 </w:t>
            </w:r>
          </w:p>
        </w:tc>
        <w:tc>
          <w:tcPr>
            <w:tcW w:w="2323" w:type="pct"/>
            <w:tcBorders>
              <w:top w:val="single" w:color="000000" w:sz="6" w:space="0"/>
              <w:left w:val="nil"/>
              <w:bottom w:val="single" w:color="000000" w:sz="6" w:space="0"/>
              <w:right w:val="single" w:color="000000" w:sz="6" w:space="0"/>
            </w:tcBorders>
            <w:tcMar>
              <w:top w:w="75" w:type="dxa"/>
              <w:left w:w="150" w:type="dxa"/>
              <w:bottom w:w="75" w:type="dxa"/>
              <w:right w:w="150" w:type="dxa"/>
            </w:tcMar>
            <w:vAlign w:val="center"/>
          </w:tcPr>
          <w:p>
            <w:pPr>
              <w:jc w:val="center"/>
              <w:rPr>
                <w:rFonts w:ascii="仿宋" w:hAnsi="仿宋" w:eastAsia="仿宋"/>
                <w:sz w:val="28"/>
                <w:szCs w:val="28"/>
              </w:rPr>
            </w:pPr>
            <w:r>
              <w:rPr>
                <w:rFonts w:hint="eastAsia" w:ascii="仿宋" w:hAnsi="仿宋" w:eastAsia="仿宋"/>
                <w:sz w:val="28"/>
                <w:szCs w:val="28"/>
              </w:rPr>
              <w:t>联系方式</w:t>
            </w:r>
          </w:p>
        </w:tc>
        <w:tc>
          <w:tcPr>
            <w:tcW w:w="39" w:type="pct"/>
            <w:vAlign w:val="center"/>
          </w:tcPr>
          <w:p>
            <w:pPr>
              <w:rPr>
                <w:rFonts w:ascii="仿宋" w:hAnsi="仿宋" w:eastAsia="仿宋"/>
                <w:sz w:val="28"/>
                <w:szCs w:val="28"/>
              </w:rPr>
            </w:pPr>
          </w:p>
        </w:tc>
        <w:tc>
          <w:tcPr>
            <w:tcW w:w="0" w:type="auto"/>
            <w:vAlign w:val="center"/>
          </w:tcPr>
          <w:p>
            <w:pPr>
              <w:rPr>
                <w:rFonts w:ascii="Times New Roman" w:hAnsi="Times New Roman" w:eastAsia="Times New Roman" w:cs="Times New Roman"/>
                <w:sz w:val="20"/>
                <w:szCs w:val="20"/>
              </w:rPr>
            </w:pPr>
          </w:p>
        </w:tc>
      </w:tr>
    </w:tbl>
    <w:p>
      <w:pPr>
        <w:pStyle w:val="4"/>
        <w:spacing w:line="900" w:lineRule="atLeast"/>
        <w:jc w:val="center"/>
        <w:rPr>
          <w:rFonts w:ascii="方正小标宋简体" w:eastAsia="方正小标宋简体"/>
          <w:sz w:val="36"/>
          <w:szCs w:val="36"/>
        </w:rPr>
      </w:pPr>
      <w:r>
        <w:rPr>
          <w:rFonts w:hint="eastAsia"/>
        </w:rPr>
        <w:br w:type="page"/>
      </w:r>
      <w:r>
        <w:rPr>
          <w:rFonts w:hint="eastAsia" w:ascii="方正小标宋简体" w:eastAsia="方正小标宋简体"/>
          <w:sz w:val="36"/>
          <w:szCs w:val="36"/>
        </w:rPr>
        <w:t>关于加强农业结构调整，切实保护耕地的建议</w:t>
      </w:r>
    </w:p>
    <w:p>
      <w:pPr>
        <w:pStyle w:val="4"/>
        <w:spacing w:line="600" w:lineRule="atLeast"/>
        <w:jc w:val="center"/>
        <w:rPr>
          <w:rFonts w:ascii="楷体" w:hAnsi="楷体" w:eastAsia="楷体"/>
          <w:sz w:val="30"/>
          <w:szCs w:val="30"/>
        </w:rPr>
      </w:pPr>
      <w:r>
        <w:rPr>
          <w:rFonts w:hint="eastAsia" w:ascii="楷体" w:hAnsi="楷体" w:eastAsia="楷体"/>
          <w:sz w:val="30"/>
          <w:szCs w:val="30"/>
        </w:rPr>
        <w:t>提案者 葛翔</w:t>
      </w:r>
    </w:p>
    <w:p>
      <w:pPr>
        <w:pStyle w:val="4"/>
        <w:spacing w:before="0" w:beforeAutospacing="0" w:after="0" w:afterAutospacing="0" w:line="558" w:lineRule="atLeast"/>
        <w:ind w:firstLine="560" w:firstLineChars="200"/>
        <w:jc w:val="both"/>
        <w:rPr>
          <w:sz w:val="28"/>
          <w:szCs w:val="28"/>
        </w:rPr>
      </w:pPr>
      <w:r>
        <w:rPr>
          <w:rFonts w:hint="eastAsia"/>
          <w:sz w:val="28"/>
          <w:szCs w:val="28"/>
        </w:rPr>
        <w:t>一、柳州市耕地的现状</w:t>
      </w:r>
    </w:p>
    <w:p>
      <w:pPr>
        <w:pStyle w:val="4"/>
        <w:spacing w:before="0" w:beforeAutospacing="0" w:after="0" w:afterAutospacing="0" w:line="558" w:lineRule="atLeast"/>
        <w:ind w:firstLine="560" w:firstLineChars="200"/>
        <w:jc w:val="both"/>
        <w:rPr>
          <w:sz w:val="28"/>
          <w:szCs w:val="28"/>
        </w:rPr>
      </w:pPr>
      <w:r>
        <w:rPr>
          <w:rFonts w:hint="eastAsia"/>
          <w:sz w:val="28"/>
          <w:szCs w:val="28"/>
        </w:rPr>
        <w:t>“十分珍惜、合理利用土地和切实保护耕地”是我国必须长期坚持的一项基本国策。近年来，习近平总书记多次强调耕地是粮食生产的命根子，要采取“长牙齿”的硬措施，落实最严格的耕地保护制度，严守18亿亩耕地红线。根据国家下达我市的耕地和基本农田保护任务，我市耕地保有量的任务为373万亩，永久基本农田保有量的任务为332.7万亩。虽然我市通过了自治区2022年度田长制考核，但是近年来，我市耕地流出（即转为他用）问题仍较为突出。</w:t>
      </w:r>
    </w:p>
    <w:p>
      <w:pPr>
        <w:pStyle w:val="4"/>
        <w:spacing w:before="0" w:beforeAutospacing="0" w:after="0" w:afterAutospacing="0" w:line="558" w:lineRule="atLeast"/>
        <w:ind w:firstLine="560" w:firstLineChars="200"/>
        <w:jc w:val="both"/>
        <w:rPr>
          <w:sz w:val="28"/>
          <w:szCs w:val="28"/>
        </w:rPr>
      </w:pPr>
      <w:r>
        <w:rPr>
          <w:rFonts w:hint="eastAsia"/>
          <w:sz w:val="28"/>
          <w:szCs w:val="28"/>
        </w:rPr>
        <w:t>根据我市2023年监测图斑，全市疑似耕地流出的面积为10.26万亩，其中疑似耕地流出较多的县区为融安县（2.63万亩）、柳城县（2.21万亩）、鹿寨县（1.52万亩）。主要流向林地和园地，其中流向林地面积7.24万亩，流向园地面积2.65万亩。未来5年，我市耕地恢复的任务还很重，如果不能按时完成，将对我市造成以下几个方面的影响：</w:t>
      </w:r>
    </w:p>
    <w:p>
      <w:pPr>
        <w:pStyle w:val="4"/>
        <w:spacing w:before="0" w:beforeAutospacing="0" w:after="0" w:afterAutospacing="0" w:line="558" w:lineRule="atLeast"/>
        <w:ind w:firstLine="560" w:firstLineChars="200"/>
        <w:jc w:val="both"/>
        <w:rPr>
          <w:sz w:val="28"/>
          <w:szCs w:val="28"/>
        </w:rPr>
      </w:pPr>
      <w:r>
        <w:rPr>
          <w:rFonts w:hint="eastAsia"/>
          <w:sz w:val="28"/>
          <w:szCs w:val="28"/>
        </w:rPr>
        <w:t>（一）柳州市补充耕地指标还没有归零回正，成为项目要素保障中的短板。根据习近平总书记在《求是》杂志上发表的《切实加强耕地保护 抓好盐碱地综合改造利用》，将各类对耕地的占用，统一纳入占补平衡管理。今后，现代农业结构调整中在耕地发展的设施农业项目也要落实耕地占补平衡，进一步加剧我市补充耕地指标紧缺的严峻形势。</w:t>
      </w:r>
    </w:p>
    <w:p>
      <w:pPr>
        <w:pStyle w:val="4"/>
        <w:spacing w:before="0" w:beforeAutospacing="0" w:after="0" w:afterAutospacing="0" w:line="558" w:lineRule="atLeast"/>
        <w:ind w:firstLine="560" w:firstLineChars="200"/>
        <w:jc w:val="both"/>
        <w:rPr>
          <w:sz w:val="28"/>
          <w:szCs w:val="28"/>
        </w:rPr>
      </w:pPr>
      <w:r>
        <w:rPr>
          <w:rFonts w:hint="eastAsia"/>
          <w:sz w:val="28"/>
          <w:szCs w:val="28"/>
        </w:rPr>
        <w:t>（二）根据国家有关政策要求，完不成年度国家下达耕地恢复任务的省市，要按照一定的标准向国家缴纳资金，作为没有完成耕地恢复任务的经济处罚。当前，市县政府财政运转十分紧张，如果因为完不成耕地恢复任务按面积向国家缴纳“罚金”更会加重财政运行压力。</w:t>
      </w:r>
    </w:p>
    <w:p>
      <w:pPr>
        <w:pStyle w:val="4"/>
        <w:spacing w:before="0" w:beforeAutospacing="0" w:after="0" w:afterAutospacing="0" w:line="558" w:lineRule="atLeast"/>
        <w:ind w:firstLine="560" w:firstLineChars="200"/>
        <w:jc w:val="both"/>
        <w:rPr>
          <w:sz w:val="28"/>
          <w:szCs w:val="28"/>
        </w:rPr>
      </w:pPr>
      <w:r>
        <w:rPr>
          <w:rFonts w:hint="eastAsia"/>
          <w:sz w:val="28"/>
          <w:szCs w:val="28"/>
        </w:rPr>
        <w:t>（三）在耕地保护和粮食安全考核中，耕地保有量指标是一票否决指标，而完成该项指标的唯一出路在于通过耕地恢复来增加耕地流入。否则，耕地保有量指标始终面临着击穿底线的达摩克利斯之剑。</w:t>
      </w:r>
    </w:p>
    <w:p>
      <w:pPr>
        <w:pStyle w:val="4"/>
        <w:spacing w:before="0" w:beforeAutospacing="0" w:after="0" w:afterAutospacing="0" w:line="558" w:lineRule="atLeast"/>
        <w:ind w:firstLine="560" w:firstLineChars="200"/>
        <w:jc w:val="both"/>
        <w:rPr>
          <w:sz w:val="28"/>
          <w:szCs w:val="28"/>
        </w:rPr>
      </w:pPr>
      <w:r>
        <w:rPr>
          <w:rFonts w:hint="eastAsia"/>
          <w:sz w:val="28"/>
          <w:szCs w:val="28"/>
        </w:rPr>
        <w:t>二、造成耕地大量流出的原因分析</w:t>
      </w:r>
    </w:p>
    <w:p>
      <w:pPr>
        <w:pStyle w:val="4"/>
        <w:spacing w:before="0" w:beforeAutospacing="0" w:after="0" w:afterAutospacing="0" w:line="558" w:lineRule="atLeast"/>
        <w:ind w:firstLine="560" w:firstLineChars="200"/>
        <w:jc w:val="both"/>
        <w:rPr>
          <w:sz w:val="28"/>
          <w:szCs w:val="28"/>
        </w:rPr>
      </w:pPr>
      <w:r>
        <w:rPr>
          <w:rFonts w:hint="eastAsia"/>
          <w:sz w:val="28"/>
          <w:szCs w:val="28"/>
        </w:rPr>
        <w:t>（一）经济上的比较收益导致耕地流向园地。耕地主要用于种植粮棉油糖菜以及饲料等，市场收益相较其他作物低，导致农民的种植意愿不高，而改种其他经济收益较高的农作物。比如融安县耕地流出到园地的地类约8万亩，主要用于种植金桔、罗汉果等。鹿寨县耕地流出到园地（种植桑叶）的面积有约5万亩，集中在黄冕镇和寨沙镇，主要用于发展桑蚕产业。</w:t>
      </w:r>
    </w:p>
    <w:p>
      <w:pPr>
        <w:pStyle w:val="4"/>
        <w:spacing w:before="0" w:beforeAutospacing="0" w:after="0" w:afterAutospacing="0" w:line="558" w:lineRule="atLeast"/>
        <w:ind w:firstLine="560" w:firstLineChars="200"/>
        <w:jc w:val="both"/>
        <w:rPr>
          <w:sz w:val="28"/>
          <w:szCs w:val="28"/>
        </w:rPr>
      </w:pPr>
      <w:r>
        <w:rPr>
          <w:rFonts w:hint="eastAsia"/>
          <w:sz w:val="28"/>
          <w:szCs w:val="28"/>
        </w:rPr>
        <w:t>（二）农村劳动力短缺致使耕地流向林地。目前，农村大量劳动力通过进城务工增加收入，青壮年劳动人口较少，而耕地种植需要人工较多，种植桉树则不需要太多的人工投入。柳城、融水、融安、柳江区、鱼峰区均存在大量耕地或永久基本农田上种植桉树的情况，大量耕地流向了林地。</w:t>
      </w:r>
    </w:p>
    <w:p>
      <w:pPr>
        <w:pStyle w:val="4"/>
        <w:spacing w:before="0" w:beforeAutospacing="0" w:after="0" w:afterAutospacing="0" w:line="558" w:lineRule="atLeast"/>
        <w:ind w:firstLine="560" w:firstLineChars="200"/>
        <w:jc w:val="both"/>
        <w:rPr>
          <w:sz w:val="28"/>
          <w:szCs w:val="28"/>
        </w:rPr>
      </w:pPr>
      <w:r>
        <w:rPr>
          <w:rFonts w:hint="eastAsia"/>
          <w:sz w:val="28"/>
          <w:szCs w:val="28"/>
        </w:rPr>
        <w:t>（三）基层群众耕地保护的意识淡薄，永久基本农田发展林果业时有发生。根据《基本农田保护条例》，严禁在永久基本农田上发展林果业和挖塘养鱼，但广大农村基层群众并不认为这是违法行为。因此，永久基本农田上林果树的整改复耕行动容易产生舆情压力，基层政府和执法者在执行耕地保护国策时往往处于弱势地位。</w:t>
      </w:r>
    </w:p>
    <w:p>
      <w:pPr>
        <w:pStyle w:val="4"/>
        <w:spacing w:before="0" w:beforeAutospacing="0" w:after="0" w:afterAutospacing="0" w:line="558" w:lineRule="atLeast"/>
        <w:ind w:firstLine="560" w:firstLineChars="200"/>
        <w:jc w:val="both"/>
        <w:rPr>
          <w:rFonts w:hint="eastAsia"/>
          <w:sz w:val="28"/>
          <w:szCs w:val="28"/>
        </w:rPr>
      </w:pPr>
    </w:p>
    <w:p>
      <w:pPr>
        <w:pStyle w:val="4"/>
        <w:spacing w:before="0" w:beforeAutospacing="0" w:after="0" w:afterAutospacing="0" w:line="558" w:lineRule="atLeast"/>
        <w:ind w:firstLine="560" w:firstLineChars="200"/>
        <w:jc w:val="both"/>
        <w:rPr>
          <w:sz w:val="28"/>
          <w:szCs w:val="28"/>
        </w:rPr>
      </w:pPr>
      <w:bookmarkStart w:id="1" w:name="_GoBack"/>
      <w:bookmarkEnd w:id="1"/>
      <w:r>
        <w:rPr>
          <w:rFonts w:hint="eastAsia"/>
          <w:sz w:val="28"/>
          <w:szCs w:val="28"/>
        </w:rPr>
        <w:t>三、建议</w:t>
      </w:r>
    </w:p>
    <w:p>
      <w:pPr>
        <w:pStyle w:val="4"/>
        <w:spacing w:before="0" w:beforeAutospacing="0" w:after="0" w:afterAutospacing="0" w:line="558" w:lineRule="atLeast"/>
        <w:ind w:firstLine="560" w:firstLineChars="200"/>
        <w:jc w:val="both"/>
        <w:rPr>
          <w:sz w:val="28"/>
          <w:szCs w:val="28"/>
        </w:rPr>
      </w:pPr>
      <w:r>
        <w:rPr>
          <w:rFonts w:hint="eastAsia"/>
          <w:sz w:val="28"/>
          <w:szCs w:val="28"/>
        </w:rPr>
        <w:t>（一）农业部门要加强对农业种植结构的调整和管控，引导农民因地制宜开展农业生产。在每年初对本年度的农作物市场行情进行研判，引导农民在耕地上种植经济价值更高的蔬菜等农产品，将经济林、果树种植到坡度25度以上的其他农用地上，既能保证农民收入不降低，也能达到耕地和基本农田保护的要求。</w:t>
      </w:r>
    </w:p>
    <w:p>
      <w:pPr>
        <w:pStyle w:val="4"/>
        <w:spacing w:before="0" w:beforeAutospacing="0" w:after="0" w:afterAutospacing="0" w:line="558" w:lineRule="atLeast"/>
        <w:ind w:firstLine="560" w:firstLineChars="200"/>
        <w:jc w:val="both"/>
        <w:rPr>
          <w:sz w:val="28"/>
          <w:szCs w:val="28"/>
        </w:rPr>
      </w:pPr>
      <w:r>
        <w:rPr>
          <w:rFonts w:hint="eastAsia"/>
          <w:sz w:val="28"/>
          <w:szCs w:val="28"/>
        </w:rPr>
        <w:t>（二）林业、农业部门在推动林业产业、水果产业、桑蚕等产业发展，编制各类产业发展专项规划时，要与本地区国土空间规划衔接，落实耕地管制制度，不得占用永久基本农田发展林果业，在耕地上开展的农业结构调整必须按照国家要求落实耕地占补指标。</w:t>
      </w:r>
    </w:p>
    <w:p>
      <w:pPr>
        <w:pStyle w:val="4"/>
        <w:spacing w:before="0" w:beforeAutospacing="0" w:after="0" w:afterAutospacing="0" w:line="558" w:lineRule="atLeast"/>
        <w:ind w:firstLine="560" w:firstLineChars="200"/>
        <w:jc w:val="both"/>
        <w:rPr>
          <w:sz w:val="28"/>
          <w:szCs w:val="28"/>
        </w:rPr>
      </w:pPr>
      <w:r>
        <w:rPr>
          <w:rFonts w:hint="eastAsia"/>
          <w:sz w:val="28"/>
          <w:szCs w:val="28"/>
        </w:rPr>
        <w:t>（三）各县区党委政府要严格落实耕地保护和粮食安全责任，统筹各类产业空间布局，根据耕地上作物的生长规律，有计划有步骤的实施耕地恢复。</w:t>
      </w: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3402"/>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2268" w:type="dxa"/>
            <w:vMerge w:val="restart"/>
            <w:vAlign w:val="center"/>
          </w:tcPr>
          <w:p>
            <w:pPr>
              <w:widowControl w:val="0"/>
              <w:jc w:val="center"/>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审查意见</w:t>
            </w: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方正小标宋简体" w:eastAsia="方正小标宋简体"/>
                <w:color w:val="FF0000"/>
                <w:sz w:val="52"/>
                <w:szCs w:val="52"/>
              </w:rPr>
              <w:t>立案</w:t>
            </w:r>
          </w:p>
        </w:tc>
        <w:tc>
          <w:tcPr>
            <w:tcW w:w="3402" w:type="dxa"/>
            <w:vMerge w:val="restart"/>
            <w:vAlign w:val="center"/>
          </w:tcPr>
          <w:p>
            <w:pPr>
              <w:widowControl w:val="0"/>
              <w:jc w:val="center"/>
              <w:rPr>
                <w:rFonts w:hint="eastAsia" w:ascii="黑体" w:hAnsi="黑体" w:eastAsia="黑体" w:cs="黑体"/>
                <w:sz w:val="28"/>
                <w:szCs w:val="28"/>
                <w:vertAlign w:val="baseline"/>
              </w:rPr>
            </w:pPr>
            <w:r>
              <w:rPr>
                <w:rFonts w:hint="default"/>
              </w:rPr>
              <w:drawing>
                <wp:inline distT="0" distB="0" distL="114300" distR="114300">
                  <wp:extent cx="1522730" cy="1511935"/>
                  <wp:effectExtent l="0" t="0" r="1270" b="12065"/>
                  <wp:docPr id="4" name="图片 4" descr="微信图片_2022080815290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微信图片_20220808152900"/>
                          <pic:cNvPicPr>
                            <a:picLocks noChangeAspect="true"/>
                          </pic:cNvPicPr>
                        </pic:nvPicPr>
                        <pic:blipFill>
                          <a:blip r:embed="rId5">
                            <a:clrChange>
                              <a:clrFrom>
                                <a:srgbClr val="FFFFFF">
                                  <a:alpha val="100000"/>
                                </a:srgbClr>
                              </a:clrFrom>
                              <a:clrTo>
                                <a:srgbClr val="FFFFFF">
                                  <a:alpha val="100000"/>
                                  <a:alpha val="0"/>
                                </a:srgbClr>
                              </a:clrTo>
                            </a:clrChange>
                          </a:blip>
                          <a:stretch>
                            <a:fillRect/>
                          </a:stretch>
                        </pic:blipFill>
                        <pic:spPr>
                          <a:xfrm>
                            <a:off x="0" y="0"/>
                            <a:ext cx="1522730" cy="15119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268" w:type="dxa"/>
            <w:vMerge w:val="continue"/>
            <w:vAlign w:val="center"/>
          </w:tcPr>
          <w:p>
            <w:pPr>
              <w:widowControl w:val="0"/>
              <w:jc w:val="center"/>
            </w:pP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仿宋" w:hAnsi="仿宋" w:eastAsia="仿宋"/>
                <w:sz w:val="28"/>
                <w:szCs w:val="28"/>
              </w:rPr>
              <w:t>时间: 2024年01月</w:t>
            </w:r>
            <w:r>
              <w:rPr>
                <w:rFonts w:hint="eastAsia" w:ascii="仿宋" w:hAnsi="仿宋" w:eastAsia="仿宋"/>
                <w:sz w:val="28"/>
                <w:szCs w:val="28"/>
                <w:lang w:val="en-US" w:eastAsia="zh-CN"/>
              </w:rPr>
              <w:t>16</w:t>
            </w:r>
            <w:r>
              <w:rPr>
                <w:rFonts w:hint="eastAsia" w:ascii="仿宋" w:hAnsi="仿宋" w:eastAsia="仿宋"/>
                <w:sz w:val="28"/>
                <w:szCs w:val="28"/>
              </w:rPr>
              <w:t>日</w:t>
            </w:r>
          </w:p>
        </w:tc>
        <w:tc>
          <w:tcPr>
            <w:tcW w:w="3402" w:type="dxa"/>
            <w:vMerge w:val="continue"/>
            <w:vAlign w:val="center"/>
          </w:tcPr>
          <w:p>
            <w:pPr>
              <w:widowControl w:val="0"/>
              <w:jc w:val="center"/>
              <w:rPr>
                <w:rFonts w:hint="eastAsia" w:ascii="黑体" w:hAnsi="黑体" w:eastAsia="黑体" w:cs="黑体"/>
                <w:sz w:val="28"/>
                <w:szCs w:val="28"/>
                <w:vertAlign w:val="baseline"/>
              </w:rPr>
            </w:pPr>
          </w:p>
        </w:tc>
      </w:tr>
    </w:tbl>
    <w:p/>
    <w:p>
      <w:pPr>
        <w:jc w:val="both"/>
      </w:pPr>
    </w:p>
    <w:sectPr>
      <w:footerReference r:id="rId3" w:type="default"/>
      <w:pgSz w:w="11906" w:h="16838"/>
      <w:pgMar w:top="1701" w:right="1417" w:bottom="1701" w:left="1417" w:header="851" w:footer="992" w:gutter="0"/>
      <w:paperSrc/>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方正小标宋简体">
    <w:panose1 w:val="02000000000000000000"/>
    <w:charset w:val="86"/>
    <w:family w:val="roman"/>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AfuQZdyQIAAOwFAAAOAAAAAAAAAAEAIAAAADUBAABkcnMvZTJvRG9jLnhtbFBL&#10;BQYAAAAABgAGAFkBAABw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noPunctuationKerning w:val="true"/>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460"/>
    <w:rsid w:val="00084BB7"/>
    <w:rsid w:val="0009357C"/>
    <w:rsid w:val="000A06FB"/>
    <w:rsid w:val="000C4460"/>
    <w:rsid w:val="00144B47"/>
    <w:rsid w:val="001B1D35"/>
    <w:rsid w:val="001D799F"/>
    <w:rsid w:val="00330D95"/>
    <w:rsid w:val="003744B1"/>
    <w:rsid w:val="00391A0C"/>
    <w:rsid w:val="003F2551"/>
    <w:rsid w:val="00475F44"/>
    <w:rsid w:val="00562D98"/>
    <w:rsid w:val="0057224B"/>
    <w:rsid w:val="006610D3"/>
    <w:rsid w:val="00672C44"/>
    <w:rsid w:val="006901D5"/>
    <w:rsid w:val="006C5E8B"/>
    <w:rsid w:val="00707165"/>
    <w:rsid w:val="00710C43"/>
    <w:rsid w:val="007413BC"/>
    <w:rsid w:val="007772EB"/>
    <w:rsid w:val="00821DDB"/>
    <w:rsid w:val="008D2233"/>
    <w:rsid w:val="00964F3E"/>
    <w:rsid w:val="009F136F"/>
    <w:rsid w:val="00A4193E"/>
    <w:rsid w:val="00B41404"/>
    <w:rsid w:val="00B60292"/>
    <w:rsid w:val="00BF266F"/>
    <w:rsid w:val="00BF6E60"/>
    <w:rsid w:val="00C146B3"/>
    <w:rsid w:val="00D207E9"/>
    <w:rsid w:val="00D45694"/>
    <w:rsid w:val="00DC2F22"/>
    <w:rsid w:val="00E91D71"/>
    <w:rsid w:val="00EB2659"/>
    <w:rsid w:val="00F05D00"/>
    <w:rsid w:val="00F35EB1"/>
    <w:rsid w:val="00F765A3"/>
    <w:rsid w:val="00FA6583"/>
    <w:rsid w:val="BAF5C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msonormal"/>
    <w:basedOn w:val="1"/>
    <w:qFormat/>
    <w:uiPriority w:val="99"/>
    <w:pPr>
      <w:spacing w:before="100" w:beforeAutospacing="1" w:after="100" w:afterAutospacing="1"/>
    </w:pPr>
  </w:style>
  <w:style w:type="character" w:customStyle="1" w:styleId="9">
    <w:name w:val="页眉 字符"/>
    <w:basedOn w:val="7"/>
    <w:link w:val="3"/>
    <w:qFormat/>
    <w:uiPriority w:val="99"/>
    <w:rPr>
      <w:rFonts w:ascii="宋体" w:hAnsi="宋体" w:eastAsia="宋体" w:cs="宋体"/>
      <w:sz w:val="18"/>
      <w:szCs w:val="18"/>
    </w:rPr>
  </w:style>
  <w:style w:type="character" w:customStyle="1" w:styleId="10">
    <w:name w:val="页脚 字符"/>
    <w:basedOn w:val="7"/>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Words>
  <Characters>455</Characters>
  <Lines>3</Lines>
  <Paragraphs>1</Paragraphs>
  <TotalTime>0</TotalTime>
  <ScaleCrop>false</ScaleCrop>
  <LinksUpToDate>false</LinksUpToDate>
  <CharactersWithSpaces>533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2021-10-09T19:38:00Z</dcterms:created>
  <dc:creator>2013143581@qq.com</dc:creator>
  <cp:lastModifiedBy>提案委韦颖华</cp:lastModifiedBy>
  <dcterms:modified xsi:type="dcterms:W3CDTF">2024-01-29T20:16:27Z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