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ascii="方正小标宋简体" w:eastAsia="方正小标宋简体"/>
          <w:sz w:val="44"/>
          <w:szCs w:val="44"/>
        </w:rPr>
      </w:pPr>
      <w:r>
        <w:rPr>
          <w:rFonts w:ascii="方正小标宋简体" w:eastAsia="方正小标宋简体"/>
          <w:sz w:val="44"/>
          <w:szCs w:val="44"/>
        </w:rPr>
        <w:t>柳州市第十</w:t>
      </w:r>
      <w:r>
        <w:rPr>
          <w:rFonts w:hint="eastAsia" w:ascii="方正小标宋简体" w:eastAsia="方正小标宋简体"/>
          <w:sz w:val="44"/>
          <w:szCs w:val="44"/>
          <w:lang w:eastAsia="zh-CN"/>
        </w:rPr>
        <w:t>五</w:t>
      </w:r>
      <w:r>
        <w:rPr>
          <w:rFonts w:ascii="方正小标宋简体" w:eastAsia="方正小标宋简体"/>
          <w:sz w:val="44"/>
          <w:szCs w:val="44"/>
        </w:rPr>
        <w:t>届人民代表大会第</w:t>
      </w:r>
      <w:r>
        <w:rPr>
          <w:rFonts w:hint="eastAsia" w:ascii="方正小标宋简体" w:eastAsia="方正小标宋简体"/>
          <w:sz w:val="44"/>
          <w:szCs w:val="44"/>
          <w:lang w:eastAsia="zh-CN"/>
        </w:rPr>
        <w:t>五</w:t>
      </w:r>
      <w:r>
        <w:rPr>
          <w:rFonts w:ascii="方正小标宋简体" w:eastAsia="方正小标宋简体"/>
          <w:sz w:val="44"/>
          <w:szCs w:val="44"/>
        </w:rPr>
        <w:t>次会议</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代表建议、批评和意见</w:t>
      </w:r>
    </w:p>
    <w:p>
      <w:pPr>
        <w:keepNext w:val="0"/>
        <w:keepLines w:val="0"/>
        <w:pageBreakBefore w:val="0"/>
        <w:kinsoku/>
        <w:wordWrap/>
        <w:overflowPunct/>
        <w:topLinePunct w:val="0"/>
        <w:autoSpaceDE/>
        <w:autoSpaceDN/>
        <w:bidi w:val="0"/>
        <w:adjustRightInd/>
        <w:snapToGrid/>
        <w:spacing w:line="580" w:lineRule="exact"/>
        <w:jc w:val="center"/>
        <w:textAlignment w:val="auto"/>
        <w:rPr>
          <w:rFonts w:ascii="方正小标宋简体" w:eastAsia="方正小标宋简体"/>
          <w:sz w:val="32"/>
          <w:szCs w:val="32"/>
        </w:rPr>
      </w:pPr>
      <w:r>
        <w:rPr>
          <w:rFonts w:hint="eastAsia" w:ascii="方正小标宋简体" w:eastAsia="方正小标宋简体"/>
          <w:sz w:val="32"/>
          <w:szCs w:val="32"/>
        </w:rPr>
        <w:t>第</w:t>
      </w:r>
      <w:r>
        <w:rPr>
          <w:rFonts w:hint="eastAsia" w:ascii="方正小标宋简体" w:eastAsia="方正小标宋简体"/>
          <w:sz w:val="32"/>
          <w:szCs w:val="32"/>
          <w:lang w:val="en-US" w:eastAsia="zh-CN"/>
        </w:rPr>
        <w:t>61</w:t>
      </w:r>
      <w:r>
        <w:rPr>
          <w:rFonts w:hint="eastAsia" w:ascii="方正小标宋简体" w:eastAsia="方正小标宋简体"/>
          <w:sz w:val="32"/>
          <w:szCs w:val="32"/>
        </w:rPr>
        <w:t>号</w:t>
      </w:r>
    </w:p>
    <w:p>
      <w:pPr>
        <w:keepNext w:val="0"/>
        <w:keepLines w:val="0"/>
        <w:pageBreakBefore w:val="0"/>
        <w:kinsoku/>
        <w:wordWrap/>
        <w:overflowPunct/>
        <w:topLinePunct w:val="0"/>
        <w:autoSpaceDE/>
        <w:autoSpaceDN/>
        <w:bidi w:val="0"/>
        <w:adjustRightInd/>
        <w:snapToGrid/>
        <w:spacing w:line="580" w:lineRule="exact"/>
        <w:ind w:firstLine="7388" w:firstLineChars="2300"/>
        <w:jc w:val="both"/>
        <w:textAlignment w:val="auto"/>
        <w:rPr>
          <w:rFonts w:ascii="方正小标宋简体" w:eastAsia="方正小标宋简体"/>
          <w:sz w:val="44"/>
          <w:szCs w:val="44"/>
        </w:rPr>
      </w:pPr>
      <w:r>
        <w:rPr>
          <w:rFonts w:hint="eastAsia" w:ascii="仿宋_GB2312" w:eastAsia="仿宋_GB2312"/>
          <w:b/>
          <w:sz w:val="32"/>
          <w:szCs w:val="32"/>
        </w:rPr>
        <w:t>类别：教科文卫</w:t>
      </w:r>
      <w:bookmarkStart w:id="0" w:name="_GoBack"/>
      <w:bookmarkEnd w:id="0"/>
    </w:p>
    <w:tbl>
      <w:tblPr>
        <w:tblStyle w:val="4"/>
        <w:tblW w:w="964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283"/>
        <w:gridCol w:w="284"/>
        <w:gridCol w:w="1417"/>
        <w:gridCol w:w="1560"/>
        <w:gridCol w:w="1558"/>
        <w:gridCol w:w="1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_GB2312" w:eastAsia="仿宋_GB2312"/>
                <w:b/>
                <w:sz w:val="32"/>
                <w:szCs w:val="32"/>
              </w:rPr>
            </w:pPr>
            <w:r>
              <w:rPr>
                <w:rFonts w:hint="eastAsia" w:ascii="仿宋_GB2312" w:eastAsia="仿宋_GB2312"/>
                <w:b/>
                <w:sz w:val="32"/>
                <w:szCs w:val="32"/>
              </w:rPr>
              <w:t>建议标题</w:t>
            </w:r>
          </w:p>
        </w:tc>
        <w:tc>
          <w:tcPr>
            <w:tcW w:w="8092" w:type="dxa"/>
            <w:gridSpan w:val="6"/>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eastAsia="仿宋_GB2312"/>
                <w:b/>
                <w:sz w:val="32"/>
                <w:szCs w:val="32"/>
              </w:rPr>
            </w:pPr>
            <w:r>
              <w:rPr>
                <w:rFonts w:hint="eastAsia" w:ascii="仿宋_GB2312" w:eastAsia="仿宋_GB2312"/>
                <w:b/>
                <w:sz w:val="32"/>
                <w:szCs w:val="32"/>
                <w:lang w:eastAsia="zh-CN"/>
              </w:rPr>
              <w:t>关于将鹿寨县江口乡和鱼峰区白沙镇联合开发打造柳宗元文化旅游景点的建议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_GB2312" w:eastAsia="仿宋_GB2312"/>
                <w:b/>
                <w:sz w:val="32"/>
                <w:szCs w:val="32"/>
              </w:rPr>
            </w:pPr>
            <w:r>
              <w:rPr>
                <w:rFonts w:hint="eastAsia" w:ascii="仿宋_GB2312" w:eastAsia="仿宋_GB2312"/>
                <w:b/>
                <w:sz w:val="32"/>
                <w:szCs w:val="32"/>
              </w:rPr>
              <w:t>领衔代表</w:t>
            </w:r>
          </w:p>
        </w:tc>
        <w:tc>
          <w:tcPr>
            <w:tcW w:w="1283"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仿宋_GB2312" w:eastAsia="仿宋_GB2312"/>
                <w:b/>
                <w:sz w:val="32"/>
                <w:szCs w:val="32"/>
                <w:lang w:eastAsia="zh-CN"/>
              </w:rPr>
            </w:pPr>
            <w:r>
              <w:rPr>
                <w:rFonts w:hint="eastAsia" w:ascii="仿宋_GB2312" w:eastAsia="仿宋_GB2312"/>
                <w:b/>
                <w:sz w:val="32"/>
                <w:szCs w:val="32"/>
                <w:lang w:eastAsia="zh-CN"/>
              </w:rPr>
              <w:t>刘春霞</w:t>
            </w:r>
          </w:p>
        </w:tc>
        <w:tc>
          <w:tcPr>
            <w:tcW w:w="1701" w:type="dxa"/>
            <w:gridSpan w:val="2"/>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_GB2312" w:eastAsia="仿宋_GB2312"/>
                <w:b/>
                <w:sz w:val="32"/>
                <w:szCs w:val="32"/>
              </w:rPr>
            </w:pPr>
            <w:r>
              <w:rPr>
                <w:rFonts w:hint="eastAsia" w:ascii="仿宋_GB2312" w:eastAsia="仿宋_GB2312"/>
                <w:b/>
                <w:sz w:val="32"/>
                <w:szCs w:val="32"/>
              </w:rPr>
              <w:t>代表证号</w:t>
            </w:r>
          </w:p>
        </w:tc>
        <w:tc>
          <w:tcPr>
            <w:tcW w:w="1560"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仿宋_GB2312" w:eastAsia="仿宋_GB2312"/>
                <w:b/>
                <w:sz w:val="32"/>
                <w:szCs w:val="32"/>
                <w:lang w:val="en-US" w:eastAsia="zh-CN"/>
              </w:rPr>
            </w:pPr>
            <w:r>
              <w:rPr>
                <w:rFonts w:hint="eastAsia" w:ascii="仿宋_GB2312" w:eastAsia="仿宋_GB2312"/>
                <w:b/>
                <w:sz w:val="32"/>
                <w:szCs w:val="32"/>
                <w:lang w:val="en-US" w:eastAsia="zh-CN"/>
              </w:rPr>
              <w:t>049</w:t>
            </w:r>
          </w:p>
        </w:tc>
        <w:tc>
          <w:tcPr>
            <w:tcW w:w="1558"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_GB2312" w:eastAsia="仿宋_GB2312"/>
                <w:b/>
                <w:sz w:val="32"/>
                <w:szCs w:val="32"/>
              </w:rPr>
            </w:pPr>
            <w:r>
              <w:rPr>
                <w:rFonts w:hint="eastAsia" w:ascii="仿宋_GB2312" w:eastAsia="仿宋_GB2312"/>
                <w:b/>
                <w:sz w:val="32"/>
                <w:szCs w:val="32"/>
              </w:rPr>
              <w:t>联系电话</w:t>
            </w:r>
          </w:p>
        </w:tc>
        <w:tc>
          <w:tcPr>
            <w:tcW w:w="1990"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仿宋_GB2312" w:eastAsia="仿宋_GB2312"/>
                <w:b/>
                <w:sz w:val="32"/>
                <w:szCs w:val="32"/>
                <w:lang w:val="en-US" w:eastAsia="zh-CN"/>
              </w:rPr>
            </w:pPr>
            <w:r>
              <w:rPr>
                <w:rFonts w:hint="eastAsia" w:ascii="仿宋_GB2312" w:eastAsia="仿宋_GB2312"/>
                <w:b/>
                <w:sz w:val="32"/>
                <w:szCs w:val="32"/>
                <w:lang w:val="en-US" w:eastAsia="zh-CN"/>
              </w:rPr>
              <w:t>15977213525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_GB2312" w:eastAsia="仿宋_GB2312"/>
                <w:b/>
                <w:sz w:val="32"/>
                <w:szCs w:val="32"/>
              </w:rPr>
            </w:pPr>
            <w:r>
              <w:rPr>
                <w:rFonts w:hint="eastAsia" w:ascii="仿宋_GB2312" w:eastAsia="仿宋_GB2312"/>
                <w:b/>
                <w:sz w:val="32"/>
                <w:szCs w:val="32"/>
              </w:rPr>
              <w:t>通讯地址</w:t>
            </w:r>
          </w:p>
        </w:tc>
        <w:tc>
          <w:tcPr>
            <w:tcW w:w="4544" w:type="dxa"/>
            <w:gridSpan w:val="4"/>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_GB2312" w:eastAsia="仿宋_GB2312"/>
                <w:b/>
                <w:sz w:val="32"/>
                <w:szCs w:val="32"/>
                <w:lang w:val="en-US" w:eastAsia="zh-CN"/>
              </w:rPr>
            </w:pPr>
            <w:r>
              <w:rPr>
                <w:rFonts w:hint="eastAsia" w:ascii="仿宋_GB2312" w:eastAsia="仿宋_GB2312"/>
                <w:b/>
                <w:sz w:val="32"/>
                <w:szCs w:val="32"/>
                <w:lang w:eastAsia="zh-CN"/>
              </w:rPr>
              <w:t>柳州市鹿寨县江口乡江口街</w:t>
            </w:r>
            <w:r>
              <w:rPr>
                <w:rFonts w:hint="eastAsia" w:ascii="仿宋_GB2312" w:eastAsia="仿宋_GB2312"/>
                <w:b/>
                <w:sz w:val="32"/>
                <w:szCs w:val="32"/>
                <w:lang w:val="en-US" w:eastAsia="zh-CN"/>
              </w:rPr>
              <w:t>1号</w:t>
            </w:r>
          </w:p>
        </w:tc>
        <w:tc>
          <w:tcPr>
            <w:tcW w:w="1558"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_GB2312" w:eastAsia="仿宋_GB2312"/>
                <w:b/>
                <w:sz w:val="32"/>
                <w:szCs w:val="32"/>
              </w:rPr>
            </w:pPr>
            <w:r>
              <w:rPr>
                <w:rFonts w:hint="eastAsia" w:ascii="仿宋_GB2312" w:eastAsia="仿宋_GB2312"/>
                <w:b/>
                <w:sz w:val="32"/>
                <w:szCs w:val="32"/>
              </w:rPr>
              <w:t>邮政编码</w:t>
            </w:r>
          </w:p>
        </w:tc>
        <w:tc>
          <w:tcPr>
            <w:tcW w:w="1990"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仿宋_GB2312" w:eastAsia="仿宋_GB2312"/>
                <w:b/>
                <w:sz w:val="32"/>
                <w:szCs w:val="32"/>
                <w:lang w:val="en-US" w:eastAsia="zh-CN"/>
              </w:rPr>
            </w:pPr>
            <w:r>
              <w:rPr>
                <w:rFonts w:hint="eastAsia" w:ascii="仿宋_GB2312" w:eastAsia="仿宋_GB2312"/>
                <w:b/>
                <w:sz w:val="32"/>
                <w:szCs w:val="32"/>
                <w:lang w:val="en-US" w:eastAsia="zh-CN"/>
              </w:rPr>
              <w:t>545621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2"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仿宋_GB2312" w:eastAsia="仿宋_GB2312"/>
                <w:b/>
                <w:sz w:val="32"/>
                <w:szCs w:val="32"/>
              </w:rPr>
            </w:pPr>
            <w:r>
              <w:rPr>
                <w:rFonts w:hint="eastAsia" w:ascii="仿宋_GB2312" w:eastAsia="仿宋_GB2312"/>
                <w:b/>
                <w:sz w:val="32"/>
                <w:szCs w:val="32"/>
              </w:rPr>
              <w:t>附议代表</w:t>
            </w:r>
          </w:p>
        </w:tc>
        <w:tc>
          <w:tcPr>
            <w:tcW w:w="1567" w:type="dxa"/>
            <w:gridSpan w:val="2"/>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_GB2312" w:eastAsia="仿宋_GB2312"/>
                <w:b/>
                <w:sz w:val="32"/>
                <w:szCs w:val="32"/>
              </w:rPr>
            </w:pPr>
            <w:r>
              <w:rPr>
                <w:rFonts w:hint="eastAsia" w:ascii="仿宋_GB2312" w:eastAsia="仿宋_GB2312"/>
                <w:b/>
                <w:sz w:val="32"/>
                <w:szCs w:val="32"/>
              </w:rPr>
              <w:t>代表证号</w:t>
            </w:r>
          </w:p>
        </w:tc>
        <w:tc>
          <w:tcPr>
            <w:tcW w:w="4535" w:type="dxa"/>
            <w:gridSpan w:val="3"/>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仿宋_GB2312" w:eastAsia="仿宋_GB2312"/>
                <w:b/>
                <w:sz w:val="32"/>
                <w:szCs w:val="32"/>
                <w:lang w:eastAsia="zh-CN"/>
              </w:rPr>
            </w:pPr>
            <w:r>
              <w:rPr>
                <w:rFonts w:hint="eastAsia" w:ascii="仿宋_GB2312" w:eastAsia="仿宋_GB2312"/>
                <w:b/>
                <w:sz w:val="32"/>
                <w:szCs w:val="32"/>
                <w:lang w:eastAsia="zh-CN"/>
              </w:rPr>
              <w:t>通讯地址</w:t>
            </w:r>
          </w:p>
        </w:tc>
        <w:tc>
          <w:tcPr>
            <w:tcW w:w="1990"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_GB2312" w:eastAsia="仿宋_GB2312"/>
                <w:b/>
                <w:sz w:val="32"/>
                <w:szCs w:val="32"/>
              </w:rPr>
            </w:pPr>
            <w:r>
              <w:rPr>
                <w:rFonts w:hint="eastAsia" w:ascii="仿宋_GB2312" w:eastAsia="仿宋_GB2312"/>
                <w:b/>
                <w:sz w:val="32"/>
                <w:szCs w:val="32"/>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仿宋_GB2312" w:eastAsia="仿宋_GB2312"/>
                <w:b/>
                <w:sz w:val="32"/>
                <w:szCs w:val="32"/>
                <w:lang w:val="en-US" w:eastAsia="zh-CN"/>
              </w:rPr>
            </w:pPr>
            <w:r>
              <w:rPr>
                <w:rFonts w:hint="eastAsia" w:ascii="仿宋_GB2312" w:eastAsia="仿宋_GB2312"/>
                <w:b/>
                <w:sz w:val="32"/>
                <w:szCs w:val="32"/>
                <w:lang w:val="en-US" w:eastAsia="zh-CN"/>
              </w:rPr>
              <w:t>黄雪勇</w:t>
            </w:r>
          </w:p>
        </w:tc>
        <w:tc>
          <w:tcPr>
            <w:tcW w:w="1567" w:type="dxa"/>
            <w:gridSpan w:val="2"/>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仿宋_GB2312" w:eastAsia="仿宋_GB2312"/>
                <w:b/>
                <w:sz w:val="32"/>
                <w:szCs w:val="32"/>
                <w:lang w:val="en-US" w:eastAsia="zh-CN"/>
              </w:rPr>
            </w:pPr>
            <w:r>
              <w:rPr>
                <w:rFonts w:hint="eastAsia" w:ascii="仿宋_GB2312" w:eastAsia="仿宋_GB2312"/>
                <w:b/>
                <w:sz w:val="32"/>
                <w:szCs w:val="32"/>
                <w:lang w:val="en-US" w:eastAsia="zh-CN"/>
              </w:rPr>
              <w:t>067</w:t>
            </w:r>
          </w:p>
        </w:tc>
        <w:tc>
          <w:tcPr>
            <w:tcW w:w="4535" w:type="dxa"/>
            <w:gridSpan w:val="3"/>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仿宋_GB2312" w:eastAsia="仿宋_GB2312"/>
                <w:b/>
                <w:sz w:val="32"/>
                <w:szCs w:val="32"/>
                <w:lang w:val="en-US" w:eastAsia="zh-CN"/>
              </w:rPr>
            </w:pPr>
            <w:r>
              <w:rPr>
                <w:rFonts w:hint="eastAsia" w:ascii="仿宋_GB2312" w:eastAsia="仿宋_GB2312"/>
                <w:b/>
                <w:sz w:val="32"/>
                <w:szCs w:val="32"/>
                <w:lang w:val="en-US" w:eastAsia="zh-CN"/>
              </w:rPr>
              <w:t>鹿寨县文体广旅局        （鹿寨文化艺术中心）</w:t>
            </w:r>
          </w:p>
        </w:tc>
        <w:tc>
          <w:tcPr>
            <w:tcW w:w="1990"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仿宋_GB2312" w:eastAsia="仿宋_GB2312"/>
                <w:b/>
                <w:sz w:val="32"/>
                <w:szCs w:val="32"/>
                <w:lang w:val="en-US" w:eastAsia="zh-CN"/>
              </w:rPr>
            </w:pPr>
            <w:r>
              <w:rPr>
                <w:rFonts w:hint="eastAsia" w:ascii="仿宋_GB2312" w:eastAsia="仿宋_GB2312"/>
                <w:b/>
                <w:sz w:val="32"/>
                <w:szCs w:val="32"/>
                <w:lang w:val="en-US" w:eastAsia="zh-CN"/>
              </w:rPr>
              <w:t>18978039888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_GB2312" w:eastAsia="仿宋_GB2312"/>
                <w:b/>
                <w:sz w:val="32"/>
                <w:szCs w:val="32"/>
              </w:rPr>
            </w:pPr>
          </w:p>
        </w:tc>
        <w:tc>
          <w:tcPr>
            <w:tcW w:w="1567" w:type="dxa"/>
            <w:gridSpan w:val="2"/>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_GB2312" w:eastAsia="仿宋_GB2312"/>
                <w:b/>
                <w:sz w:val="32"/>
                <w:szCs w:val="32"/>
              </w:rPr>
            </w:pPr>
          </w:p>
        </w:tc>
        <w:tc>
          <w:tcPr>
            <w:tcW w:w="4535" w:type="dxa"/>
            <w:gridSpan w:val="3"/>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_GB2312" w:eastAsia="仿宋_GB2312"/>
                <w:b/>
                <w:sz w:val="32"/>
                <w:szCs w:val="32"/>
              </w:rPr>
            </w:pPr>
          </w:p>
        </w:tc>
        <w:tc>
          <w:tcPr>
            <w:tcW w:w="1990" w:type="dxa"/>
            <w:vAlign w:val="center"/>
          </w:tcPr>
          <w:p>
            <w:pPr>
              <w:keepNext w:val="0"/>
              <w:keepLines w:val="0"/>
              <w:pageBreakBefore w:val="0"/>
              <w:kinsoku/>
              <w:wordWrap/>
              <w:overflowPunct/>
              <w:topLinePunct w:val="0"/>
              <w:autoSpaceDE/>
              <w:autoSpaceDN/>
              <w:bidi w:val="0"/>
              <w:adjustRightInd/>
              <w:snapToGrid/>
              <w:spacing w:line="580" w:lineRule="exact"/>
              <w:jc w:val="center"/>
              <w:textAlignment w:val="auto"/>
              <w:rPr>
                <w:rFonts w:ascii="仿宋_GB2312" w:eastAsia="仿宋_GB2312"/>
                <w:b/>
                <w:sz w:val="32"/>
                <w:szCs w:val="32"/>
              </w:rPr>
            </w:pPr>
          </w:p>
        </w:tc>
      </w:tr>
    </w:tbl>
    <w:p>
      <w:pPr>
        <w:keepNext w:val="0"/>
        <w:keepLines w:val="0"/>
        <w:pageBreakBefore w:val="0"/>
        <w:kinsoku/>
        <w:wordWrap/>
        <w:overflowPunct/>
        <w:topLinePunct w:val="0"/>
        <w:autoSpaceDE/>
        <w:autoSpaceDN/>
        <w:bidi w:val="0"/>
        <w:adjustRightInd/>
        <w:snapToGrid/>
        <w:spacing w:line="580" w:lineRule="exact"/>
        <w:jc w:val="left"/>
        <w:textAlignment w:val="auto"/>
        <w:rPr>
          <w:rFonts w:ascii="方正小标宋简体" w:eastAsia="方正小标宋简体"/>
          <w:sz w:val="44"/>
          <w:szCs w:val="44"/>
        </w:rPr>
      </w:pPr>
      <w:r>
        <w:rPr>
          <w:rFonts w:hint="eastAsia" w:ascii="仿宋_GB2312" w:eastAsia="仿宋_GB2312"/>
          <w:b/>
          <w:sz w:val="32"/>
          <w:szCs w:val="32"/>
        </w:rPr>
        <w:t>建议内容：</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cs="方正小标宋简体"/>
          <w:sz w:val="36"/>
          <w:szCs w:val="36"/>
        </w:rPr>
      </w:pPr>
      <w:r>
        <w:rPr>
          <w:rFonts w:hint="eastAsia" w:ascii="方正小标宋简体" w:eastAsia="方正小标宋简体"/>
          <w:sz w:val="36"/>
          <w:szCs w:val="36"/>
          <w:lang w:eastAsia="zh-CN"/>
        </w:rPr>
        <w:t>关</w:t>
      </w:r>
      <w:r>
        <w:rPr>
          <w:rFonts w:hint="eastAsia" w:ascii="方正小标宋简体" w:eastAsia="方正小标宋简体" w:cs="方正小标宋简体"/>
          <w:sz w:val="36"/>
          <w:szCs w:val="36"/>
          <w:lang w:eastAsia="zh-CN"/>
        </w:rPr>
        <w:t>于联合</w:t>
      </w:r>
      <w:r>
        <w:rPr>
          <w:rFonts w:hint="eastAsia" w:ascii="方正小标宋简体" w:eastAsia="方正小标宋简体" w:cs="方正小标宋简体"/>
          <w:sz w:val="36"/>
          <w:szCs w:val="36"/>
        </w:rPr>
        <w:t>鹿寨县江口乡和鱼峰区白沙镇开发打造柳宗元</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36"/>
          <w:szCs w:val="36"/>
          <w:lang w:eastAsia="zh-CN"/>
        </w:rPr>
      </w:pPr>
      <w:r>
        <w:rPr>
          <w:rFonts w:hint="eastAsia" w:ascii="方正小标宋简体" w:eastAsia="方正小标宋简体" w:cs="方正小标宋简体"/>
          <w:sz w:val="36"/>
          <w:szCs w:val="36"/>
        </w:rPr>
        <w:t>文化旅游景点</w:t>
      </w:r>
      <w:r>
        <w:rPr>
          <w:rFonts w:hint="eastAsia" w:ascii="方正小标宋简体" w:eastAsia="方正小标宋简体"/>
          <w:sz w:val="36"/>
          <w:szCs w:val="36"/>
          <w:lang w:eastAsia="zh-CN"/>
        </w:rPr>
        <w:t>的建议</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val="0"/>
          <w:bCs/>
          <w:kern w:val="2"/>
          <w:sz w:val="32"/>
          <w:szCs w:val="32"/>
          <w:lang w:val="en-US" w:eastAsia="zh-CN" w:bidi="ar-SA"/>
        </w:rPr>
      </w:pPr>
      <w:r>
        <w:rPr>
          <w:rFonts w:hint="eastAsia" w:ascii="黑体" w:hAnsi="黑体" w:eastAsia="黑体" w:cs="黑体"/>
          <w:sz w:val="32"/>
          <w:szCs w:val="32"/>
          <w:lang w:eastAsia="zh-CN"/>
        </w:rPr>
        <w:t xml:space="preserve">     一、事由</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 xml:space="preserve">     柳宗元文化是柳州市作为“历史文化名城”的重要元素，一直以来柳州大力挖掘、宣传柳宗元文化，目前开发了多个柳宗元文化旅游景点，如柳侯祠、柳侯公园，鹅山、雀儿山、大龙潭等也融入了柳宗元文化，使得柳宗元文化旅游成为了柳州一张名片。但是这些旅游资源多以书画碑帖的方式存在，并且全部是集中在柳州市区内，容易给游客带来视觉疲劳。</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江口乡和白沙镇是在柳州市区外，但离市区只有十多公里，古老的柳江河与风光旖旎的洛清江于两个乡镇交汇，江面开阔，水质清澈，两岸风光秀丽，山水之中还有丰富的人文资源。经查阅相关文献记载，柳宗元在柳州任职期间所作的《酬曹侍御过象县见寄》七言绝句中提到的破额山所处地为鱼峰区白沙镇，诗人“遥驻木兰舟”的地方正是在柳江（鱼峰区白沙镇和鹿寨县江口乡河段处）。因此如果能将柳宗元的这首绝句与柳宗元文化各个层面与这两个乡镇的人文要素借助景观联合起来，作为柳州市柳宗元文化的一个延伸点集成开发，将更好的助推柳州文旅产业发展。</w:t>
      </w:r>
    </w:p>
    <w:p>
      <w:pPr>
        <w:keepNext w:val="0"/>
        <w:keepLines w:val="0"/>
        <w:pageBreakBefore w:val="0"/>
        <w:numPr>
          <w:ilvl w:val="0"/>
          <w:numId w:val="1"/>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案据</w:t>
      </w:r>
    </w:p>
    <w:p>
      <w:pPr>
        <w:keepNext w:val="0"/>
        <w:keepLines w:val="0"/>
        <w:pageBreakBefore w:val="0"/>
        <w:widowControl/>
        <w:kinsoku/>
        <w:wordWrap/>
        <w:overflowPunct/>
        <w:topLinePunct w:val="0"/>
        <w:autoSpaceDE/>
        <w:autoSpaceDN/>
        <w:bidi w:val="0"/>
        <w:adjustRightInd/>
        <w:snapToGrid/>
        <w:spacing w:line="580" w:lineRule="exact"/>
        <w:ind w:firstLineChars="200"/>
        <w:jc w:val="left"/>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江口乡和白沙镇联合开发柳宗元文化不是“无中生有”，江口乡宝塔屯的怀柳塔（相传是当地群众为了表达对柳宗元的怀念之情而建）、江口乡和白沙镇共有的龙河双洲以及白沙镇的破额山，这“塔”、“洲”和“山”三个元素分别对应柳宗元《酬曹侍御过象县见寄》的背景、主旨和画面，完整地将诗歌意境实体化。其中“塔”主题所在地江口乡，历史文化悠久，古墓众多，大营盘岭背有汉墓12座，铜鼓岭上有汉墓48座，当地的南北朝古墓群还出土了一块方形滑石镌刻的非常珍贵的“买地券”，被国家文物局鉴定为一级文物。破额山下的白沙镇马朝屯也是人文积淀深厚，锁匙滩遗址、贞德坊、陈氏家族墓群等，以及八座山峰的古老传说，都为柳宗元文化旅游增色不少。</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柳州市第五届文化旅游产业发展大会在白沙镇举行，已因地制宜打造了“千年古镇 螺韵白沙”乡村旅游品牌，推动白沙古镇成为了“周边游”“露营地”新热点和乡村旅游网红打卡点；江口乡和白沙镇隔江相望，共饮一江水，江口乡每年举办的百鱼宴渔家文化活动，吸引上万名游客前来体验参观，江口鱼已逐渐成为当地一张名片。据不完全统计周末每天都有上千名游客到江口码头坐船游白沙古镇，然后再渡船回江口品尝江口鱼，节假日游客更是络绎不绝。因此可以将白沙镇的“千年古镇 螺韵白沙”古镇文化和江口乡的“渔见江口 品味百鱼”渔家文化以柳宗元文化串联起来以“柳子故游地”为主题延伸打造一个柳州新的柳宗元文化旅游点。</w:t>
      </w:r>
    </w:p>
    <w:p>
      <w:pPr>
        <w:keepNext w:val="0"/>
        <w:keepLines w:val="0"/>
        <w:pageBreakBefore w:val="0"/>
        <w:numPr>
          <w:ilvl w:val="0"/>
          <w:numId w:val="1"/>
        </w:numPr>
        <w:kinsoku/>
        <w:wordWrap/>
        <w:overflowPunct/>
        <w:topLinePunct w:val="0"/>
        <w:autoSpaceDE/>
        <w:autoSpaceDN/>
        <w:bidi w:val="0"/>
        <w:adjustRightInd/>
        <w:snapToGrid/>
        <w:spacing w:line="580" w:lineRule="exact"/>
        <w:ind w:left="0" w:leftChars="0"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方案</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一是</w:t>
      </w:r>
      <w:r>
        <w:rPr>
          <w:rFonts w:hint="eastAsia" w:ascii="仿宋_GB2312" w:hAnsi="仿宋_GB2312" w:eastAsia="仿宋_GB2312" w:cs="仿宋_GB2312"/>
          <w:b w:val="0"/>
          <w:bCs/>
          <w:kern w:val="2"/>
          <w:sz w:val="32"/>
          <w:szCs w:val="32"/>
          <w:lang w:val="en-US" w:eastAsia="zh-CN" w:bidi="ar-SA"/>
        </w:rPr>
        <w:t>从市级层面将江口乡和白沙镇融入到大柳州旅游发展规划和柳宗元文化发展规划中。整合资源以柳宗元的《酬曹侍御过象县见寄》七言绝句为切入点，充分挖掘当地柳宗元文化，结合两个乡镇的古镇和鱼乡优势，编制江口乡、白沙镇整体开发柳宗元文化旅游规划，从而进行有序的开发。</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b w:val="0"/>
          <w:bCs/>
          <w:kern w:val="2"/>
          <w:sz w:val="32"/>
          <w:szCs w:val="32"/>
          <w:lang w:val="en-US" w:eastAsia="zh-CN" w:bidi="ar-SA"/>
        </w:rPr>
      </w:pPr>
      <w:r>
        <w:rPr>
          <w:rFonts w:hint="eastAsia" w:ascii="楷体_GB2312" w:hAnsi="楷体_GB2312" w:eastAsia="楷体_GB2312" w:cs="楷体_GB2312"/>
          <w:b w:val="0"/>
          <w:bCs/>
          <w:kern w:val="2"/>
          <w:sz w:val="32"/>
          <w:szCs w:val="32"/>
          <w:lang w:val="en-US" w:eastAsia="zh-CN" w:bidi="ar-SA"/>
        </w:rPr>
        <w:t>二是</w:t>
      </w:r>
      <w:r>
        <w:rPr>
          <w:rFonts w:hint="eastAsia" w:ascii="仿宋_GB2312" w:hAnsi="仿宋_GB2312" w:eastAsia="仿宋_GB2312" w:cs="仿宋_GB2312"/>
          <w:b w:val="0"/>
          <w:bCs/>
          <w:kern w:val="2"/>
          <w:sz w:val="32"/>
          <w:szCs w:val="32"/>
          <w:lang w:val="en-US" w:eastAsia="zh-CN" w:bidi="ar-SA"/>
        </w:rPr>
        <w:t>从市级层面加大对江口乡、白沙镇整体旅游项目的招商力度，引进社会资本进行逐步打造，比如白沙镇的古街和江口乡的老码头、老渔街、欧式风格粮所等，基础条件都比较好，可以优先进行打造开发，达到以点带面效果。</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sz w:val="32"/>
          <w:szCs w:val="32"/>
          <w:lang w:eastAsia="zh-CN"/>
        </w:rPr>
      </w:pP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sz w:val="32"/>
          <w:szCs w:val="32"/>
          <w:lang w:eastAsia="zh-CN"/>
        </w:rPr>
      </w:pPr>
    </w:p>
    <w:sectPr>
      <w:pgSz w:w="11906" w:h="16838"/>
      <w:pgMar w:top="1418"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000010101"/>
    <w:charset w:val="86"/>
    <w:family w:val="auto"/>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hZmM3YzQ3ZTJjNmM0NzkxMDRkYjA2ZTkyNmZmODUifQ=="/>
  </w:docVars>
  <w:rsids>
    <w:rsidRoot w:val="00000000"/>
    <w:rsid w:val="180A3FB2"/>
    <w:rsid w:val="2FD30D3B"/>
    <w:rsid w:val="52CA252D"/>
    <w:rsid w:val="75020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3">
    <w:name w:val="Normal Table"/>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rFonts w:ascii="宋体" w:hAnsi="宋体"/>
      <w:b/>
      <w:sz w:val="36"/>
      <w:szCs w:val="36"/>
    </w:r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1393</Words>
  <Characters>1412</Characters>
  <Paragraphs>48</Paragraphs>
  <TotalTime>8</TotalTime>
  <ScaleCrop>false</ScaleCrop>
  <LinksUpToDate>false</LinksUpToDate>
  <CharactersWithSpaces>1427</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Lenovo</dc:creator>
  <cp:lastModifiedBy>gxxc</cp:lastModifiedBy>
  <cp:lastPrinted>2019-01-10T21:10:00Z</cp:lastPrinted>
  <dcterms:modified xsi:type="dcterms:W3CDTF">2024-01-29T19:35:23Z</dcterms:modified>
  <dc:title>柳州市第十四届人民代表大会第四次会议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E9EE586A30B7496BB8C2898E3E7858C6</vt:lpwstr>
  </property>
</Properties>
</file>