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 w:val="left" w:pos="1440"/>
          <w:tab w:val="left" w:pos="1620"/>
        </w:tabs>
        <w:spacing w:line="1000" w:lineRule="exact"/>
        <w:jc w:val="center"/>
        <w:rPr>
          <w:rFonts w:ascii="方正小标宋简体" w:eastAsia="方正小标宋简体"/>
          <w:color w:val="FF0000"/>
          <w:spacing w:val="260"/>
          <w:sz w:val="96"/>
          <w:szCs w:val="96"/>
        </w:rPr>
      </w:pPr>
      <w:bookmarkStart w:id="0" w:name="_GoBack"/>
      <w:bookmarkEnd w:id="0"/>
      <w:r>
        <w:rPr>
          <w:rFonts w:ascii="方正小标宋简体" w:eastAsia="方正小标宋简体"/>
          <w:color w:val="FF0000"/>
          <w:spacing w:val="260"/>
          <w:sz w:val="96"/>
          <w:szCs w:val="96"/>
        </w:rPr>
        <w:t xml:space="preserve"> </w:t>
      </w:r>
    </w:p>
    <w:p>
      <w:pPr>
        <w:spacing w:line="1000" w:lineRule="exact"/>
        <w:jc w:val="center"/>
        <w:rPr>
          <w:rFonts w:ascii="仿宋_GB2312"/>
          <w:b/>
          <w:color w:val="FF0000"/>
          <w:spacing w:val="100"/>
          <w:sz w:val="40"/>
        </w:rPr>
      </w:pPr>
    </w:p>
    <w:p>
      <w:pPr>
        <w:spacing w:line="400" w:lineRule="exact"/>
        <w:ind w:firstLine="155" w:firstLineChars="49"/>
        <w:jc w:val="center"/>
        <w:rPr>
          <w:rFonts w:ascii="仿宋_GB2312"/>
          <w:color w:val="000000"/>
        </w:rPr>
      </w:pPr>
      <w:r>
        <w:rPr>
          <w:rFonts w:hint="eastAsia" w:ascii="仿宋_GB2312"/>
          <w:color w:val="000000"/>
        </w:rPr>
        <w:t>鱼政办发</w:t>
      </w:r>
      <w:r>
        <w:rPr>
          <w:rFonts w:hint="default" w:ascii="Times New Roman" w:hAnsi="Times New Roman" w:cs="Times New Roman"/>
          <w:color w:val="000000"/>
        </w:rPr>
        <w:t>〔20</w:t>
      </w:r>
      <w:r>
        <w:rPr>
          <w:rFonts w:hint="default" w:ascii="Times New Roman" w:hAnsi="Times New Roman" w:cs="Times New Roman"/>
          <w:color w:val="000000"/>
          <w:lang w:val="en-US" w:eastAsia="zh-CN"/>
        </w:rPr>
        <w:t>23</w:t>
      </w:r>
      <w:r>
        <w:rPr>
          <w:rFonts w:hint="default" w:ascii="Times New Roman" w:hAnsi="Times New Roman" w:cs="Times New Roman"/>
          <w:color w:val="000000"/>
        </w:rPr>
        <w:t>〕</w:t>
      </w:r>
      <w:r>
        <w:rPr>
          <w:rFonts w:hint="eastAsia"/>
          <w:color w:val="000000"/>
          <w:spacing w:val="8"/>
          <w:szCs w:val="32"/>
          <w:lang w:val="en-US" w:eastAsia="zh-CN"/>
        </w:rPr>
        <w:t>20</w:t>
      </w:r>
      <w:r>
        <w:rPr>
          <w:rFonts w:hint="eastAsia" w:ascii="仿宋_GB2312"/>
          <w:color w:val="000000"/>
        </w:rPr>
        <w:t>号</w:t>
      </w:r>
    </w:p>
    <w:p>
      <w:pPr>
        <w:tabs>
          <w:tab w:val="center" w:pos="4613"/>
          <w:tab w:val="right" w:pos="9070"/>
        </w:tabs>
        <w:spacing w:line="400" w:lineRule="exact"/>
        <w:ind w:firstLine="155" w:firstLineChars="49"/>
        <w:jc w:val="left"/>
        <w:rPr>
          <w:rFonts w:ascii="仿宋_GB2312"/>
          <w:color w:val="FF0000"/>
        </w:rPr>
      </w:pPr>
      <w:r>
        <w:rPr>
          <w:rFonts w:ascii="仿宋_GB2312"/>
          <w:color w:val="FF0000"/>
        </w:rPr>
        <w:tab/>
      </w:r>
    </w:p>
    <w:p>
      <w:pPr>
        <w:spacing w:line="560" w:lineRule="exact"/>
        <w:jc w:val="center"/>
        <w:rPr>
          <w:snapToGrid w:val="0"/>
          <w:kern w:val="0"/>
          <w:szCs w:val="32"/>
        </w:rPr>
      </w:pPr>
    </w:p>
    <w:p>
      <w:pPr>
        <w:pStyle w:val="2"/>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rPr>
        <w:t>鱼峰区人民政府办公室</w:t>
      </w:r>
    </w:p>
    <w:p>
      <w:pPr>
        <w:pStyle w:val="2"/>
        <w:keepNext w:val="0"/>
        <w:keepLines w:val="0"/>
        <w:pageBreakBefore w:val="0"/>
        <w:widowControl w:val="0"/>
        <w:kinsoku/>
        <w:wordWrap/>
        <w:overflowPunct/>
        <w:topLinePunct w:val="0"/>
        <w:bidi w:val="0"/>
        <w:snapToGrid/>
        <w:spacing w:line="578" w:lineRule="exact"/>
        <w:jc w:val="center"/>
        <w:textAlignment w:val="auto"/>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关于成立鱼峰区财源建设工作领导小组</w:t>
      </w:r>
    </w:p>
    <w:p>
      <w:pPr>
        <w:pStyle w:val="2"/>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lang w:val="en-US" w:eastAsia="zh-CN"/>
        </w:rPr>
        <w:t>的通知</w:t>
      </w:r>
    </w:p>
    <w:p>
      <w:pPr>
        <w:pStyle w:val="2"/>
        <w:keepNext w:val="0"/>
        <w:keepLines w:val="0"/>
        <w:pageBreakBefore w:val="0"/>
        <w:widowControl w:val="0"/>
        <w:kinsoku/>
        <w:wordWrap/>
        <w:overflowPunct/>
        <w:topLinePunct w:val="0"/>
        <w:bidi w:val="0"/>
        <w:snapToGrid/>
        <w:spacing w:line="550" w:lineRule="exact"/>
        <w:ind w:left="0" w:leftChars="0"/>
        <w:jc w:val="center"/>
        <w:textAlignment w:val="auto"/>
        <w:rPr>
          <w:rFonts w:eastAsia="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50" w:lineRule="exact"/>
        <w:ind w:left="0" w:leftChars="0"/>
        <w:textAlignment w:val="auto"/>
        <w:rPr>
          <w:spacing w:val="8"/>
          <w:kern w:val="0"/>
          <w:szCs w:val="32"/>
        </w:rPr>
      </w:pPr>
      <w:r>
        <w:rPr>
          <w:rFonts w:hint="eastAsia"/>
          <w:spacing w:val="8"/>
          <w:kern w:val="0"/>
          <w:szCs w:val="32"/>
          <w:lang w:val="en-US" w:eastAsia="zh-CN"/>
        </w:rPr>
        <w:t>各镇人民政府，各街道办事处，区直国家机关各部门，各人民团体，各事业单位：</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ascii="仿宋_GB2312" w:eastAsia="仿宋_GB2312" w:cs="仿宋_GB2312"/>
          <w:color w:val="000000"/>
          <w:sz w:val="31"/>
          <w:szCs w:val="31"/>
        </w:rPr>
        <w:t>为更好推动产业振兴，将产业振兴的成果转化为地方实际可用财力，扩大税收收入规模和优化财政收入结构，为促进经济高质量发展提供稳定优质的财源支撑，经区人民政府同意，决定成立鱼峰区财源建设工作领导小组（以下简称领导小组），现将有关事项通知如下：</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ascii="黑体" w:eastAsia="黑体" w:cs="黑体"/>
          <w:color w:val="000000"/>
          <w:sz w:val="31"/>
          <w:szCs w:val="31"/>
        </w:rPr>
        <w:t>一、领导小组主要职责</w:t>
      </w:r>
    </w:p>
    <w:p>
      <w:pPr>
        <w:pStyle w:val="14"/>
        <w:keepNext w:val="0"/>
        <w:keepLines w:val="0"/>
        <w:pageBreakBefore w:val="0"/>
        <w:widowControl w:val="0"/>
        <w:kinsoku/>
        <w:wordWrap/>
        <w:overflowPunct/>
        <w:topLinePunct w:val="0"/>
        <w:autoSpaceDE/>
        <w:autoSpaceDN/>
        <w:bidi w:val="0"/>
        <w:adjustRightInd/>
        <w:snapToGrid/>
        <w:spacing w:line="550" w:lineRule="exact"/>
        <w:ind w:firstLine="641"/>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负责拟定全区财源建设年度重点任务，统筹指导全区各部门财源建设工作，及时研究解决全区财源建设工作中的重点难点问题，完成区委、区政府交办的其他事项。</w:t>
      </w:r>
    </w:p>
    <w:p>
      <w:pPr>
        <w:pStyle w:val="14"/>
        <w:keepNext w:val="0"/>
        <w:keepLines w:val="0"/>
        <w:pageBreakBefore w:val="0"/>
        <w:widowControl w:val="0"/>
        <w:kinsoku/>
        <w:wordWrap/>
        <w:overflowPunct/>
        <w:topLinePunct w:val="0"/>
        <w:autoSpaceDE/>
        <w:autoSpaceDN/>
        <w:bidi w:val="0"/>
        <w:adjustRightInd/>
        <w:snapToGrid/>
        <w:spacing w:line="550" w:lineRule="exact"/>
        <w:ind w:firstLine="641"/>
        <w:jc w:val="both"/>
        <w:textAlignment w:val="auto"/>
        <w:rPr>
          <w:rFonts w:ascii="黑体" w:eastAsia="黑体" w:cs="黑体"/>
          <w:color w:val="000000"/>
          <w:sz w:val="31"/>
          <w:szCs w:val="31"/>
        </w:rPr>
      </w:pPr>
      <w:r>
        <w:rPr>
          <w:rFonts w:ascii="黑体" w:eastAsia="黑体" w:cs="黑体"/>
          <w:color w:val="000000"/>
          <w:sz w:val="31"/>
          <w:szCs w:val="31"/>
        </w:rPr>
        <w:t>二、领导小组组成人员</w:t>
      </w:r>
    </w:p>
    <w:p>
      <w:pPr>
        <w:pStyle w:val="14"/>
        <w:keepNext w:val="0"/>
        <w:keepLines w:val="0"/>
        <w:pageBreakBefore w:val="0"/>
        <w:widowControl w:val="0"/>
        <w:kinsoku/>
        <w:wordWrap/>
        <w:overflowPunct/>
        <w:topLinePunct w:val="0"/>
        <w:autoSpaceDE/>
        <w:autoSpaceDN/>
        <w:bidi w:val="0"/>
        <w:adjustRightInd/>
        <w:snapToGrid/>
        <w:spacing w:line="550" w:lineRule="exact"/>
        <w:ind w:firstLine="641"/>
        <w:jc w:val="both"/>
        <w:textAlignment w:val="auto"/>
      </w:pPr>
      <w:r>
        <w:rPr>
          <w:rFonts w:ascii="仿宋_GB2312" w:eastAsia="仿宋_GB2312" w:cs="仿宋_GB2312"/>
          <w:color w:val="000000"/>
          <w:sz w:val="31"/>
          <w:szCs w:val="31"/>
        </w:rPr>
        <w:t>组  长：彭继军  区委副书记、区长</w:t>
      </w:r>
    </w:p>
    <w:p>
      <w:pPr>
        <w:pStyle w:val="14"/>
        <w:keepNext w:val="0"/>
        <w:keepLines w:val="0"/>
        <w:pageBreakBefore w:val="0"/>
        <w:widowControl/>
        <w:kinsoku/>
        <w:wordWrap/>
        <w:overflowPunct/>
        <w:topLinePunct w:val="0"/>
        <w:autoSpaceDE/>
        <w:autoSpaceDN/>
        <w:bidi w:val="0"/>
        <w:adjustRightInd/>
        <w:snapToGrid/>
        <w:spacing w:line="550" w:lineRule="exact"/>
        <w:ind w:firstLine="62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副组长：徐进辉</w:t>
      </w:r>
      <w:r>
        <w:rPr>
          <w:rFonts w:hint="eastAsia" w:eastAsia="仿宋_GB2312"/>
          <w:lang w:eastAsia="zh-CN"/>
        </w:rPr>
        <w:t xml:space="preserve"> </w:t>
      </w:r>
      <w:r>
        <w:t xml:space="preserve"> </w:t>
      </w:r>
      <w:r>
        <w:rPr>
          <w:rFonts w:ascii="仿宋_GB2312" w:eastAsia="仿宋_GB2312" w:cs="仿宋_GB2312"/>
          <w:color w:val="000000"/>
          <w:sz w:val="31"/>
          <w:szCs w:val="31"/>
        </w:rPr>
        <w:t>区委常委、常务副区长</w:t>
      </w:r>
    </w:p>
    <w:p>
      <w:pPr>
        <w:pStyle w:val="14"/>
        <w:keepNext w:val="0"/>
        <w:keepLines w:val="0"/>
        <w:pageBreakBefore w:val="0"/>
        <w:widowControl/>
        <w:kinsoku/>
        <w:wordWrap/>
        <w:overflowPunct/>
        <w:topLinePunct w:val="0"/>
        <w:autoSpaceDE/>
        <w:autoSpaceDN/>
        <w:bidi w:val="0"/>
        <w:adjustRightInd/>
        <w:snapToGrid/>
        <w:spacing w:line="550" w:lineRule="exact"/>
        <w:ind w:firstLine="620"/>
        <w:jc w:val="both"/>
        <w:textAlignment w:val="auto"/>
        <w:rPr>
          <w:rFonts w:hint="eastAsia" w:ascii="仿宋_GB2312" w:eastAsia="仿宋_GB2312" w:cs="仿宋_GB2312"/>
          <w:color w:val="000000"/>
          <w:sz w:val="31"/>
          <w:szCs w:val="31"/>
          <w:lang w:eastAsia="zh-CN"/>
        </w:rPr>
      </w:pPr>
      <w:r>
        <w:rPr>
          <w:rFonts w:ascii="仿宋_GB2312" w:eastAsia="仿宋_GB2312" w:cs="仿宋_GB2312"/>
          <w:color w:val="000000"/>
          <w:sz w:val="31"/>
          <w:szCs w:val="31"/>
        </w:rPr>
        <w:t>成  员：</w:t>
      </w:r>
      <w:r>
        <w:rPr>
          <w:rFonts w:hint="eastAsia" w:ascii="仿宋_GB2312" w:eastAsia="仿宋_GB2312" w:cs="仿宋_GB2312"/>
          <w:color w:val="000000"/>
          <w:sz w:val="31"/>
          <w:szCs w:val="31"/>
          <w:lang w:eastAsia="zh-CN"/>
        </w:rPr>
        <w:t xml:space="preserve">黄  辉 区政府党组成员、区自然资源局局长（兼）   </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龚  宇</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区政府办主任</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关树宗</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区政府办副主任</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陈  昆</w:t>
      </w:r>
      <w:r>
        <w:rPr>
          <w:rFonts w:hint="eastAsia" w:ascii="仿宋_GB2312" w:eastAsia="仿宋_GB2312" w:cs="仿宋_GB2312"/>
          <w:color w:val="000000"/>
          <w:sz w:val="31"/>
          <w:szCs w:val="31"/>
          <w:lang w:eastAsia="zh-CN"/>
        </w:rPr>
        <w:t xml:space="preserve"> </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区财政局局长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唐  蔚  区</w:t>
      </w:r>
      <w:r>
        <w:rPr>
          <w:rFonts w:hint="eastAsia" w:ascii="仿宋_GB2312" w:eastAsia="仿宋_GB2312" w:cs="仿宋_GB2312"/>
          <w:color w:val="000000"/>
          <w:sz w:val="31"/>
          <w:szCs w:val="31"/>
          <w:lang w:eastAsia="zh-CN"/>
        </w:rPr>
        <w:t>委区政府督查</w:t>
      </w:r>
      <w:r>
        <w:rPr>
          <w:rFonts w:ascii="仿宋_GB2312" w:eastAsia="仿宋_GB2312" w:cs="仿宋_GB2312"/>
          <w:color w:val="000000"/>
          <w:sz w:val="31"/>
          <w:szCs w:val="31"/>
        </w:rPr>
        <w:t>绩效办主任</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罗  原</w:t>
      </w:r>
      <w:r>
        <w:rPr>
          <w:rFonts w:hint="eastAsia" w:ascii="仿宋_GB2312" w:eastAsia="仿宋_GB2312" w:cs="仿宋_GB2312"/>
          <w:color w:val="000000"/>
          <w:sz w:val="31"/>
          <w:szCs w:val="31"/>
          <w:lang w:eastAsia="zh-CN"/>
        </w:rPr>
        <w:t xml:space="preserve"> </w:t>
      </w:r>
      <w:r>
        <w:rPr>
          <w:rFonts w:hint="eastAsia" w:ascii="仿宋_GB2312" w:eastAsia="仿宋_GB2312" w:cs="仿宋_GB2312"/>
          <w:color w:val="000000"/>
          <w:sz w:val="31"/>
          <w:szCs w:val="31"/>
          <w:lang w:val="en-US" w:eastAsia="zh-CN"/>
        </w:rPr>
        <w:t xml:space="preserve"> </w:t>
      </w:r>
      <w:r>
        <w:rPr>
          <w:rFonts w:hint="default" w:ascii="仿宋_GB2312" w:eastAsia="仿宋_GB2312" w:cs="仿宋_GB2312"/>
          <w:color w:val="000000"/>
          <w:sz w:val="31"/>
          <w:szCs w:val="31"/>
        </w:rPr>
        <w:t>区</w:t>
      </w:r>
      <w:r>
        <w:rPr>
          <w:rFonts w:hint="eastAsia" w:ascii="仿宋_GB2312" w:eastAsia="仿宋_GB2312" w:cs="仿宋_GB2312"/>
          <w:color w:val="000000"/>
          <w:sz w:val="31"/>
          <w:szCs w:val="31"/>
          <w:lang w:eastAsia="zh-CN"/>
        </w:rPr>
        <w:t>发改</w:t>
      </w:r>
      <w:r>
        <w:rPr>
          <w:rFonts w:hint="default" w:ascii="仿宋_GB2312" w:eastAsia="仿宋_GB2312" w:cs="仿宋_GB2312"/>
          <w:color w:val="000000"/>
          <w:sz w:val="31"/>
          <w:szCs w:val="31"/>
        </w:rPr>
        <w:t>局</w:t>
      </w:r>
      <w:r>
        <w:rPr>
          <w:rFonts w:ascii="仿宋_GB2312" w:eastAsia="仿宋_GB2312" w:cs="仿宋_GB2312"/>
          <w:color w:val="000000"/>
          <w:sz w:val="31"/>
          <w:szCs w:val="31"/>
        </w:rPr>
        <w:t>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李  君</w:t>
      </w:r>
      <w:r>
        <w:rPr>
          <w:rFonts w:hint="eastAsia" w:ascii="仿宋_GB2312" w:eastAsia="仿宋_GB2312" w:cs="仿宋_GB2312"/>
          <w:color w:val="000000"/>
          <w:sz w:val="31"/>
          <w:szCs w:val="31"/>
          <w:lang w:eastAsia="zh-CN"/>
        </w:rPr>
        <w:t xml:space="preserve"> </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w:t>
      </w:r>
      <w:r>
        <w:rPr>
          <w:rFonts w:hint="eastAsia" w:ascii="仿宋_GB2312" w:eastAsia="仿宋_GB2312" w:cs="仿宋_GB2312"/>
          <w:color w:val="000000"/>
          <w:sz w:val="31"/>
          <w:szCs w:val="31"/>
          <w:lang w:eastAsia="zh-CN"/>
        </w:rPr>
        <w:t>工信</w:t>
      </w:r>
      <w:r>
        <w:rPr>
          <w:rFonts w:ascii="仿宋_GB2312" w:eastAsia="仿宋_GB2312" w:cs="仿宋_GB2312"/>
          <w:color w:val="000000"/>
          <w:sz w:val="31"/>
          <w:szCs w:val="31"/>
        </w:rPr>
        <w:t>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吴  君</w:t>
      </w:r>
      <w:r>
        <w:rPr>
          <w:rFonts w:hint="eastAsia" w:ascii="仿宋_GB2312" w:eastAsia="仿宋_GB2312" w:cs="仿宋_GB2312"/>
          <w:color w:val="000000"/>
          <w:sz w:val="31"/>
          <w:szCs w:val="31"/>
          <w:lang w:eastAsia="zh-CN"/>
        </w:rPr>
        <w:t xml:space="preserve"> </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区科技局局长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覃  晴</w:t>
      </w:r>
      <w:r>
        <w:rPr>
          <w:rFonts w:hint="eastAsia" w:ascii="仿宋_GB2312" w:eastAsia="仿宋_GB2312" w:cs="仿宋_GB2312"/>
          <w:color w:val="000000"/>
          <w:sz w:val="31"/>
          <w:szCs w:val="31"/>
          <w:lang w:eastAsia="zh-CN"/>
        </w:rPr>
        <w:t xml:space="preserve"> </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区生态环境局局长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黄小磊</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w:t>
      </w:r>
      <w:r>
        <w:rPr>
          <w:rFonts w:hint="eastAsia" w:ascii="仿宋_GB2312" w:eastAsia="仿宋_GB2312" w:cs="仿宋_GB2312"/>
          <w:color w:val="000000"/>
          <w:sz w:val="31"/>
          <w:szCs w:val="31"/>
          <w:lang w:eastAsia="zh-CN"/>
        </w:rPr>
        <w:t>住建局</w:t>
      </w:r>
      <w:r>
        <w:rPr>
          <w:rFonts w:ascii="仿宋_GB2312" w:eastAsia="仿宋_GB2312" w:cs="仿宋_GB2312"/>
          <w:color w:val="000000"/>
          <w:sz w:val="31"/>
          <w:szCs w:val="31"/>
        </w:rPr>
        <w:t>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桑  健</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区交通运输局局长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吴子均</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区农业农村局局长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王敏珊</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区商务局局长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陈  宸</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w:t>
      </w:r>
      <w:r>
        <w:rPr>
          <w:rFonts w:hint="eastAsia" w:ascii="仿宋_GB2312" w:eastAsia="仿宋_GB2312" w:cs="仿宋_GB2312"/>
          <w:color w:val="000000"/>
          <w:sz w:val="31"/>
          <w:szCs w:val="31"/>
          <w:lang w:eastAsia="zh-CN"/>
        </w:rPr>
        <w:t>文体广旅</w:t>
      </w:r>
      <w:r>
        <w:rPr>
          <w:rFonts w:ascii="仿宋_GB2312" w:eastAsia="仿宋_GB2312" w:cs="仿宋_GB2312"/>
          <w:color w:val="000000"/>
          <w:sz w:val="31"/>
          <w:szCs w:val="31"/>
        </w:rPr>
        <w:t>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hint="eastAsia"/>
          <w:lang w:eastAsia="zh-CN"/>
        </w:rPr>
      </w:pPr>
      <w:r>
        <w:rPr>
          <w:rFonts w:ascii="仿宋_GB2312" w:eastAsia="仿宋_GB2312" w:cs="仿宋_GB2312"/>
          <w:color w:val="000000"/>
          <w:sz w:val="31"/>
          <w:szCs w:val="31"/>
        </w:rPr>
        <w:t>邓德忠</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区审计局局长</w:t>
      </w:r>
      <w:r>
        <w:rPr>
          <w:rFonts w:hint="eastAsia" w:eastAsia="仿宋_GB2312"/>
          <w:lang w:eastAsia="zh-CN"/>
        </w:rPr>
        <w:t xml:space="preserve"> </w:t>
      </w:r>
      <w:r>
        <w:rPr>
          <w:rFonts w:hint="eastAsia"/>
          <w:lang w:eastAsia="zh-CN"/>
        </w:rPr>
        <w:t xml:space="preserve">   </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韦柳云</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区市场监管局局长</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rPr>
          <w:rFonts w:hint="eastAsia" w:ascii="仿宋_GB2312" w:eastAsia="仿宋_GB2312" w:cs="仿宋_GB2312"/>
          <w:color w:val="000000"/>
          <w:sz w:val="31"/>
          <w:szCs w:val="31"/>
          <w:lang w:eastAsia="zh-CN"/>
        </w:rPr>
      </w:pPr>
      <w:r>
        <w:rPr>
          <w:rFonts w:ascii="仿宋_GB2312" w:eastAsia="仿宋_GB2312" w:cs="仿宋_GB2312"/>
          <w:color w:val="000000"/>
          <w:sz w:val="31"/>
          <w:szCs w:val="31"/>
        </w:rPr>
        <w:t>张雪颖  区投促</w:t>
      </w:r>
      <w:r>
        <w:rPr>
          <w:rFonts w:hint="eastAsia" w:ascii="仿宋_GB2312" w:eastAsia="仿宋_GB2312" w:cs="仿宋_GB2312"/>
          <w:color w:val="000000"/>
          <w:sz w:val="31"/>
          <w:szCs w:val="31"/>
          <w:lang w:eastAsia="zh-CN"/>
        </w:rPr>
        <w:t>服务中心主任</w:t>
      </w:r>
    </w:p>
    <w:p>
      <w:pPr>
        <w:pStyle w:val="14"/>
        <w:keepNext w:val="0"/>
        <w:keepLines w:val="0"/>
        <w:pageBreakBefore w:val="0"/>
        <w:widowControl/>
        <w:kinsoku/>
        <w:wordWrap/>
        <w:overflowPunct/>
        <w:topLinePunct w:val="0"/>
        <w:autoSpaceDE/>
        <w:autoSpaceDN/>
        <w:bidi w:val="0"/>
        <w:adjustRightInd/>
        <w:snapToGrid/>
        <w:spacing w:line="550" w:lineRule="exact"/>
        <w:ind w:firstLine="1836" w:firstLineChars="600"/>
        <w:jc w:val="both"/>
        <w:textAlignment w:val="auto"/>
      </w:pPr>
      <w:r>
        <w:rPr>
          <w:rFonts w:ascii="仿宋_GB2312" w:eastAsia="仿宋_GB2312" w:cs="仿宋_GB2312"/>
          <w:color w:val="000000"/>
          <w:sz w:val="31"/>
          <w:szCs w:val="31"/>
        </w:rPr>
        <w:t>陈钧钧  区税务局局长</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rPr>
          <w:rFonts w:ascii="黑体" w:eastAsia="黑体" w:cs="黑体"/>
          <w:color w:val="000000"/>
          <w:sz w:val="31"/>
          <w:szCs w:val="31"/>
        </w:rPr>
      </w:pP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ascii="黑体" w:eastAsia="黑体" w:cs="黑体"/>
          <w:color w:val="000000"/>
          <w:sz w:val="31"/>
          <w:szCs w:val="31"/>
        </w:rPr>
        <w:t>三、领导小组成员单位职责</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rPr>
          <w:rFonts w:ascii="仿宋_GB2312" w:eastAsia="仿宋_GB2312" w:cs="仿宋_GB2312"/>
          <w:color w:val="000000"/>
          <w:sz w:val="31"/>
          <w:szCs w:val="31"/>
        </w:rPr>
      </w:pPr>
      <w:r>
        <w:rPr>
          <w:rFonts w:hint="eastAsia" w:ascii="楷体_GB2312" w:hAnsi="楷体_GB2312" w:eastAsia="楷体_GB2312" w:cs="楷体_GB2312"/>
          <w:b/>
          <w:bCs/>
          <w:color w:val="000000"/>
          <w:sz w:val="31"/>
          <w:szCs w:val="31"/>
        </w:rPr>
        <w:t>区财政局：</w:t>
      </w:r>
      <w:r>
        <w:rPr>
          <w:rFonts w:ascii="仿宋_GB2312" w:eastAsia="仿宋_GB2312" w:cs="仿宋_GB2312"/>
          <w:color w:val="000000"/>
          <w:sz w:val="31"/>
          <w:szCs w:val="31"/>
        </w:rPr>
        <w:t>牵头建立健全财源建设工作考核指标体系。持续完善财政资金分配机制，在分配财力性转移支付时对税收贡献提升较大和财源建设成效明显的镇街和项目加大倾斜支持力度。将产业类专项资金和产业园区专项债券支持项目的税收贡献情况纳入财政监督重点，建立健全以项目税收贡献为重要指标的产业类专项资金预算绩效评价体系。加强对企业补助和税收优惠政策的管理，遏制各类优惠政策攀比竞争，对虚增收入行为严肃追责问责。完善财政金融联动工具与财源建设协同机制，协调金融机构加大对企业直接融资的支持力度。负责组织、指导监管的国有企业加强财源建设。</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区委区政府督查绩效办</w:t>
      </w:r>
      <w:r>
        <w:rPr>
          <w:rFonts w:hint="eastAsia" w:ascii="楷体_GB2312" w:hAnsi="楷体_GB2312" w:eastAsia="楷体_GB2312" w:cs="楷体_GB2312"/>
          <w:b/>
          <w:bCs/>
          <w:color w:val="000000"/>
          <w:sz w:val="31"/>
          <w:szCs w:val="31"/>
        </w:rPr>
        <w:t>：</w:t>
      </w:r>
      <w:r>
        <w:rPr>
          <w:rFonts w:ascii="仿宋_GB2312" w:eastAsia="仿宋_GB2312" w:cs="仿宋_GB2312"/>
          <w:color w:val="000000"/>
          <w:sz w:val="31"/>
          <w:szCs w:val="31"/>
        </w:rPr>
        <w:t>将财源建设工作考核纳入绩效考评体</w:t>
      </w:r>
      <w:r>
        <w:rPr>
          <w:rFonts w:ascii="仿宋_GB2312" w:eastAsia="仿宋_GB2312" w:cs="仿宋_GB2312"/>
          <w:color w:val="000000"/>
          <w:spacing w:val="6"/>
          <w:sz w:val="31"/>
          <w:szCs w:val="31"/>
        </w:rPr>
        <w:t>系，组织考评牵头单位实施各项考评任务情况，审核并汇总考评结果。</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default" w:ascii="楷体_GB2312" w:hAnsi="楷体_GB2312" w:eastAsia="楷体_GB2312" w:cs="楷体_GB2312"/>
          <w:b/>
          <w:bCs/>
          <w:color w:val="000000"/>
          <w:sz w:val="31"/>
          <w:szCs w:val="31"/>
          <w:lang w:val="zh-CN"/>
        </w:rPr>
        <w:t>区</w:t>
      </w:r>
      <w:r>
        <w:rPr>
          <w:rFonts w:hint="eastAsia" w:ascii="楷体_GB2312" w:hAnsi="楷体_GB2312" w:eastAsia="楷体_GB2312" w:cs="楷体_GB2312"/>
          <w:b/>
          <w:bCs/>
          <w:color w:val="000000"/>
          <w:sz w:val="31"/>
          <w:szCs w:val="31"/>
          <w:lang w:val="zh-CN" w:eastAsia="zh-CN"/>
        </w:rPr>
        <w:t>发改</w:t>
      </w:r>
      <w:r>
        <w:rPr>
          <w:rFonts w:hint="default" w:ascii="楷体_GB2312" w:hAnsi="楷体_GB2312" w:eastAsia="楷体_GB2312" w:cs="楷体_GB2312"/>
          <w:b/>
          <w:bCs/>
          <w:color w:val="000000"/>
          <w:sz w:val="31"/>
          <w:szCs w:val="31"/>
          <w:lang w:val="zh-CN"/>
        </w:rPr>
        <w:t>局</w:t>
      </w:r>
      <w:r>
        <w:rPr>
          <w:rFonts w:hint="eastAsia" w:ascii="楷体_GB2312" w:hAnsi="楷体_GB2312" w:eastAsia="楷体_GB2312" w:cs="楷体_GB2312"/>
          <w:b/>
          <w:bCs/>
          <w:color w:val="000000"/>
          <w:sz w:val="31"/>
          <w:szCs w:val="31"/>
          <w:lang w:val="zh-CN"/>
        </w:rPr>
        <w:t>：</w:t>
      </w:r>
      <w:r>
        <w:rPr>
          <w:rFonts w:ascii="仿宋_GB2312" w:eastAsia="仿宋_GB2312" w:cs="仿宋_GB2312"/>
          <w:color w:val="000000"/>
          <w:sz w:val="31"/>
          <w:szCs w:val="31"/>
        </w:rPr>
        <w:t>牵头负责第三产业财源建设，研究提出第三产业税收贡献提升方案；在保障我区重大产业项目需求前提下，将能耗指标等生产要素优先用于支持投入产出效益好的产业项目。</w:t>
      </w:r>
    </w:p>
    <w:p>
      <w:pPr>
        <w:pStyle w:val="14"/>
        <w:keepNext w:val="0"/>
        <w:keepLines w:val="0"/>
        <w:pageBreakBefore w:val="0"/>
        <w:widowControl/>
        <w:kinsoku/>
        <w:wordWrap/>
        <w:overflowPunct/>
        <w:topLinePunct w:val="0"/>
        <w:autoSpaceDE/>
        <w:autoSpaceDN/>
        <w:bidi w:val="0"/>
        <w:adjustRightInd/>
        <w:snapToGrid/>
        <w:spacing w:line="550" w:lineRule="exact"/>
        <w:ind w:firstLine="612" w:firstLineChars="200"/>
        <w:jc w:val="both"/>
        <w:textAlignment w:val="auto"/>
      </w:pPr>
      <w:r>
        <w:rPr>
          <w:rFonts w:hint="default" w:ascii="楷体_GB2312" w:hAnsi="楷体_GB2312" w:eastAsia="楷体_GB2312" w:cs="楷体_GB2312"/>
          <w:b/>
          <w:bCs/>
          <w:color w:val="000000"/>
          <w:sz w:val="31"/>
          <w:szCs w:val="31"/>
          <w:lang w:val="zh-CN"/>
        </w:rPr>
        <w:t>区工信局：</w:t>
      </w:r>
      <w:r>
        <w:rPr>
          <w:rFonts w:ascii="仿宋_GB2312" w:eastAsia="仿宋_GB2312" w:cs="仿宋_GB2312"/>
          <w:color w:val="000000"/>
          <w:sz w:val="31"/>
          <w:szCs w:val="31"/>
        </w:rPr>
        <w:t>牵头负责工业财源建设，研究提出工业税收贡献提升方案。</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区自然资源局</w:t>
      </w:r>
      <w:r>
        <w:rPr>
          <w:rFonts w:hint="default" w:ascii="楷体_GB2312" w:hAnsi="楷体_GB2312" w:eastAsia="楷体_GB2312" w:cs="楷体_GB2312"/>
          <w:b/>
          <w:bCs/>
          <w:color w:val="000000"/>
          <w:sz w:val="31"/>
          <w:szCs w:val="31"/>
          <w:lang w:val="zh-CN"/>
        </w:rPr>
        <w:t>：</w:t>
      </w:r>
      <w:r>
        <w:rPr>
          <w:rFonts w:ascii="仿宋_GB2312" w:eastAsia="仿宋_GB2312" w:cs="仿宋_GB2312"/>
          <w:color w:val="000000"/>
          <w:sz w:val="31"/>
          <w:szCs w:val="31"/>
        </w:rPr>
        <w:t>在保障我区重大产业项目需求前提下，将用地指标等生产要素优先用于支持投入产出效益好的产业项目。在保障我区重大产业项目需求前提下，将用林指标等生产要素优先用于支持投入产出效益好的产业项目。</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区生态环境局：</w:t>
      </w:r>
      <w:r>
        <w:rPr>
          <w:rFonts w:ascii="仿宋_GB2312" w:eastAsia="仿宋_GB2312" w:cs="仿宋_GB2312"/>
          <w:color w:val="000000"/>
          <w:sz w:val="31"/>
          <w:szCs w:val="31"/>
        </w:rPr>
        <w:t>在保障我区重大产业项目需求前提下，将环境容量指标等生产要素优先用于支持投入产出效益好的产业项目。</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w:t>
      </w:r>
      <w:r>
        <w:rPr>
          <w:rFonts w:hint="eastAsia" w:ascii="楷体_GB2312" w:hAnsi="楷体_GB2312" w:eastAsia="楷体_GB2312" w:cs="楷体_GB2312"/>
          <w:b/>
          <w:bCs/>
          <w:color w:val="000000"/>
          <w:sz w:val="31"/>
          <w:szCs w:val="31"/>
          <w:lang w:val="zh-CN" w:eastAsia="zh-CN"/>
        </w:rPr>
        <w:t>住建</w:t>
      </w:r>
      <w:r>
        <w:rPr>
          <w:rFonts w:hint="eastAsia" w:ascii="楷体_GB2312" w:hAnsi="楷体_GB2312" w:eastAsia="楷体_GB2312" w:cs="楷体_GB2312"/>
          <w:b/>
          <w:bCs/>
          <w:color w:val="000000"/>
          <w:sz w:val="31"/>
          <w:szCs w:val="31"/>
          <w:lang w:val="zh-CN"/>
        </w:rPr>
        <w:t>局：</w:t>
      </w:r>
      <w:r>
        <w:rPr>
          <w:rFonts w:ascii="仿宋_GB2312" w:eastAsia="仿宋_GB2312" w:cs="仿宋_GB2312"/>
          <w:color w:val="000000"/>
          <w:sz w:val="31"/>
          <w:szCs w:val="31"/>
        </w:rPr>
        <w:t>牵头负责建筑产业财源建设，研究提出建筑产业税收贡献提升方案。</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区农业农村局：</w:t>
      </w:r>
      <w:r>
        <w:rPr>
          <w:rFonts w:ascii="仿宋_GB2312" w:eastAsia="仿宋_GB2312" w:cs="仿宋_GB2312"/>
          <w:color w:val="000000"/>
          <w:sz w:val="31"/>
          <w:szCs w:val="31"/>
        </w:rPr>
        <w:t>牵头负责第一产业财源建设，研究提出第一产业税收贡献提升方案。</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区商务局：</w:t>
      </w:r>
      <w:r>
        <w:rPr>
          <w:rFonts w:ascii="仿宋_GB2312" w:eastAsia="仿宋_GB2312" w:cs="仿宋_GB2312"/>
          <w:color w:val="000000"/>
          <w:sz w:val="31"/>
          <w:szCs w:val="31"/>
        </w:rPr>
        <w:t>会同区发改局负责第三产业财源建设，研究提出第三产业税收贡献提升方案等工作。</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区审计局：</w:t>
      </w:r>
      <w:r>
        <w:rPr>
          <w:rFonts w:ascii="仿宋_GB2312" w:eastAsia="仿宋_GB2312" w:cs="仿宋_GB2312"/>
          <w:color w:val="000000"/>
          <w:sz w:val="31"/>
          <w:szCs w:val="31"/>
        </w:rPr>
        <w:t>负责组织开展落实降低收费政策、优化收入结构和收入组织秩序相关检查工作。对财源建设相关资金使用情况开展审计监督。将产业类专项资金和产业园区专项债券支持项目的税收贡献情况纳入审计重点。</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区投资</w:t>
      </w:r>
      <w:r>
        <w:rPr>
          <w:rFonts w:hint="eastAsia" w:ascii="楷体_GB2312" w:hAnsi="楷体_GB2312" w:eastAsia="楷体_GB2312" w:cs="楷体_GB2312"/>
          <w:b/>
          <w:bCs/>
          <w:color w:val="000000"/>
          <w:sz w:val="31"/>
          <w:szCs w:val="31"/>
          <w:lang w:val="zh-CN" w:eastAsia="zh-CN"/>
        </w:rPr>
        <w:t>服务中心</w:t>
      </w:r>
      <w:r>
        <w:rPr>
          <w:rFonts w:hint="eastAsia" w:ascii="楷体_GB2312" w:hAnsi="楷体_GB2312" w:eastAsia="楷体_GB2312" w:cs="楷体_GB2312"/>
          <w:b/>
          <w:bCs/>
          <w:color w:val="000000"/>
          <w:sz w:val="31"/>
          <w:szCs w:val="31"/>
          <w:lang w:val="zh-CN"/>
        </w:rPr>
        <w:t>：</w:t>
      </w:r>
      <w:r>
        <w:rPr>
          <w:rFonts w:ascii="仿宋_GB2312" w:eastAsia="仿宋_GB2312" w:cs="仿宋_GB2312"/>
          <w:color w:val="000000"/>
          <w:sz w:val="31"/>
          <w:szCs w:val="31"/>
        </w:rPr>
        <w:t>负责强化招商引资要素保障的税收贡献导向，对招商引资项目税收贡献进行事前评估，将税收贡献作为衡量招商引资工作成效的重要考量因素，探索实行招商引资合同“双向约束机制”。对已建成的招商引资项目税收贡献情况进行考核排名并通报。</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lang w:val="zh-CN"/>
        </w:rPr>
        <w:t>鱼峰区税务局：</w:t>
      </w:r>
      <w:r>
        <w:rPr>
          <w:rFonts w:ascii="仿宋_GB2312" w:eastAsia="仿宋_GB2312" w:cs="仿宋_GB2312"/>
          <w:color w:val="000000"/>
          <w:sz w:val="31"/>
          <w:szCs w:val="31"/>
        </w:rPr>
        <w:t>全面落实减税降费政策，依法打击偷（逃）税、虚开发票、骗取出口退税或留抵退税等违法行为。健全完善涉税信息共享平台，依法依规向领导小组其他成员单位提供相关产业税收统计数据。研究促进税收平稳可持续增长和重大投资项目落地的税收服务措施。研究推广税收综合共治网格化管理。对骨干税源企业实行滚动式、清单化管理。</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default" w:ascii="仿宋_GB2312" w:eastAsia="仿宋_GB2312" w:cs="仿宋_GB2312"/>
          <w:color w:val="000000"/>
          <w:sz w:val="31"/>
          <w:szCs w:val="31"/>
        </w:rPr>
        <w:t>区</w:t>
      </w:r>
      <w:r>
        <w:rPr>
          <w:rFonts w:hint="eastAsia" w:ascii="仿宋_GB2312" w:eastAsia="仿宋_GB2312" w:cs="仿宋_GB2312"/>
          <w:color w:val="000000"/>
          <w:sz w:val="31"/>
          <w:szCs w:val="31"/>
          <w:lang w:eastAsia="zh-CN"/>
        </w:rPr>
        <w:t>发改局</w:t>
      </w:r>
      <w:r>
        <w:rPr>
          <w:rFonts w:ascii="仿宋_GB2312" w:eastAsia="仿宋_GB2312" w:cs="仿宋_GB2312"/>
          <w:color w:val="000000"/>
          <w:sz w:val="31"/>
          <w:szCs w:val="31"/>
        </w:rPr>
        <w:t>、科技局、工</w:t>
      </w:r>
      <w:r>
        <w:rPr>
          <w:rFonts w:hint="eastAsia" w:ascii="仿宋_GB2312" w:eastAsia="仿宋_GB2312" w:cs="仿宋_GB2312"/>
          <w:color w:val="000000"/>
          <w:sz w:val="31"/>
          <w:szCs w:val="31"/>
          <w:lang w:eastAsia="zh-CN"/>
        </w:rPr>
        <w:t>信</w:t>
      </w:r>
      <w:r>
        <w:rPr>
          <w:rFonts w:ascii="仿宋_GB2312" w:eastAsia="仿宋_GB2312" w:cs="仿宋_GB2312"/>
          <w:color w:val="000000"/>
          <w:sz w:val="31"/>
          <w:szCs w:val="31"/>
        </w:rPr>
        <w:t>局、</w:t>
      </w:r>
      <w:r>
        <w:rPr>
          <w:rFonts w:hint="eastAsia" w:ascii="仿宋_GB2312" w:eastAsia="仿宋_GB2312" w:cs="仿宋_GB2312"/>
          <w:color w:val="000000"/>
          <w:sz w:val="31"/>
          <w:szCs w:val="31"/>
          <w:lang w:eastAsia="zh-CN"/>
        </w:rPr>
        <w:t>住建</w:t>
      </w:r>
      <w:r>
        <w:rPr>
          <w:rFonts w:ascii="仿宋_GB2312" w:eastAsia="仿宋_GB2312" w:cs="仿宋_GB2312"/>
          <w:color w:val="000000"/>
          <w:sz w:val="31"/>
          <w:szCs w:val="31"/>
        </w:rPr>
        <w:t>局、交通运输局、农业农村局、商务局、</w:t>
      </w:r>
      <w:r>
        <w:rPr>
          <w:rFonts w:hint="eastAsia" w:ascii="仿宋_GB2312" w:eastAsia="仿宋_GB2312" w:cs="仿宋_GB2312"/>
          <w:color w:val="000000"/>
          <w:sz w:val="31"/>
          <w:szCs w:val="31"/>
          <w:lang w:eastAsia="zh-CN"/>
        </w:rPr>
        <w:t>文体广旅</w:t>
      </w:r>
      <w:r>
        <w:rPr>
          <w:rFonts w:ascii="仿宋_GB2312" w:eastAsia="仿宋_GB2312" w:cs="仿宋_GB2312"/>
          <w:color w:val="000000"/>
          <w:sz w:val="31"/>
          <w:szCs w:val="31"/>
        </w:rPr>
        <w:t>局、市场监管局等成员单位：根据自身职责和实际情况，建立产业支持政策和财政资金分配与税收挂钩机制，加强对现有产业税收贡献的评估分析，定期评估现有产业支持政策，依法依规调整优化或取消投入产出比偏低的产业支持政策；建立新出台产业支持政策事前评估分析机制，将地方税收贡献作为事前评估分析的重要内容；在分配产业类专项资金时，加大对税收贡献提升较大和财</w:t>
      </w:r>
      <w:r>
        <w:rPr>
          <w:rFonts w:ascii="仿宋_GB2312" w:eastAsia="仿宋_GB2312" w:cs="仿宋_GB2312"/>
          <w:color w:val="000000"/>
          <w:sz w:val="31"/>
          <w:szCs w:val="31"/>
          <w:lang w:bidi="ar"/>
        </w:rPr>
        <w:t>源建设成效明显的镇街和项目倾斜支持力度；支持重点镇街</w:t>
      </w:r>
      <w:r>
        <w:rPr>
          <w:rFonts w:ascii="仿宋_GB2312" w:eastAsia="仿宋_GB2312" w:cs="仿宋_GB2312"/>
          <w:color w:val="000000"/>
          <w:sz w:val="31"/>
          <w:szCs w:val="31"/>
        </w:rPr>
        <w:t>加快发展、加速培育骨干税源企业、扶持重点园区高质量发展。</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ascii="黑体" w:eastAsia="黑体" w:cs="黑体"/>
          <w:color w:val="000000"/>
          <w:sz w:val="31"/>
          <w:szCs w:val="31"/>
        </w:rPr>
        <w:t>四、领导小组办公室组成人员及主要职责</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rPr>
          <w:rFonts w:ascii="仿宋_GB2312" w:eastAsia="仿宋_GB2312" w:cs="仿宋_GB2312"/>
          <w:color w:val="000000"/>
          <w:sz w:val="31"/>
          <w:szCs w:val="31"/>
        </w:rPr>
      </w:pPr>
      <w:r>
        <w:rPr>
          <w:rFonts w:ascii="仿宋_GB2312" w:eastAsia="仿宋_GB2312" w:cs="仿宋_GB2312"/>
          <w:color w:val="000000"/>
          <w:sz w:val="31"/>
          <w:szCs w:val="31"/>
        </w:rPr>
        <w:t>领导小组办公室设在区财政局，办公室主任由陈昆同志兼任，办公室成员由领导小组成员单位业务科室或相关部门联络人组成。</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ascii="仿宋_GB2312" w:eastAsia="仿宋_GB2312" w:cs="仿宋_GB2312"/>
          <w:color w:val="000000"/>
          <w:sz w:val="31"/>
          <w:szCs w:val="31"/>
        </w:rPr>
        <w:t>领导小组办公室负责领导小组内部综合协调及日常工作，落实领导小组确定的工作任务和议定事项，协调解决鱼峰区财源建设工作中遇到的困难和问题，督促检查各成员单位目标任务推进情况，适时向领导小组通报各项工作进度，加强与柳州市主管部门的汇报衔接，完成领导小组交办的其他相关工作。</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ascii="黑体" w:eastAsia="黑体" w:cs="黑体"/>
          <w:color w:val="000000"/>
          <w:sz w:val="31"/>
          <w:szCs w:val="31"/>
        </w:rPr>
        <w:t>五、其他事项</w:t>
      </w:r>
    </w:p>
    <w:p>
      <w:pPr>
        <w:pStyle w:val="14"/>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pPr>
      <w:r>
        <w:rPr>
          <w:rFonts w:hint="eastAsia" w:ascii="楷体_GB2312" w:hAnsi="楷体_GB2312" w:eastAsia="楷体_GB2312" w:cs="楷体_GB2312"/>
          <w:b/>
          <w:bCs/>
          <w:color w:val="000000"/>
          <w:sz w:val="31"/>
          <w:szCs w:val="31"/>
        </w:rPr>
        <w:t>（一）</w:t>
      </w:r>
      <w:r>
        <w:rPr>
          <w:rFonts w:ascii="仿宋_GB2312" w:eastAsia="仿宋_GB2312" w:cs="仿宋_GB2312"/>
          <w:color w:val="000000"/>
          <w:sz w:val="31"/>
          <w:szCs w:val="31"/>
        </w:rPr>
        <w:t>领导小组根据工作需要定期或不定期召开工作会议，由组长或副组长召集。各成员单位要主动研究加强财源建设有关问题，及时提交需讨论的议题报领导小组统筹，认真落实领导小组会议确定的工作任务和议定事项，将所承担的工作任务纳入部门重要工作事项。各成员单位实行定期信息报送制度，每季度向领导小组报送有关工作进展情况，重大事项随时报送。</w:t>
      </w:r>
    </w:p>
    <w:p>
      <w:pPr>
        <w:pStyle w:val="14"/>
        <w:keepNext w:val="0"/>
        <w:keepLines w:val="0"/>
        <w:pageBreakBefore w:val="0"/>
        <w:widowControl/>
        <w:kinsoku/>
        <w:wordWrap/>
        <w:overflowPunct/>
        <w:topLinePunct w:val="0"/>
        <w:autoSpaceDE/>
        <w:autoSpaceDN/>
        <w:bidi w:val="0"/>
        <w:adjustRightInd/>
        <w:snapToGrid/>
        <w:spacing w:line="578" w:lineRule="exact"/>
        <w:ind w:firstLine="640"/>
        <w:jc w:val="both"/>
        <w:textAlignment w:val="auto"/>
      </w:pPr>
      <w:r>
        <w:rPr>
          <w:rFonts w:hint="eastAsia" w:ascii="楷体_GB2312" w:hAnsi="楷体_GB2312" w:eastAsia="楷体_GB2312" w:cs="楷体_GB2312"/>
          <w:b/>
          <w:bCs/>
          <w:color w:val="000000"/>
          <w:sz w:val="31"/>
          <w:szCs w:val="31"/>
        </w:rPr>
        <w:t>（二）</w:t>
      </w:r>
      <w:r>
        <w:rPr>
          <w:rFonts w:ascii="仿宋_GB2312" w:eastAsia="仿宋_GB2312" w:cs="仿宋_GB2312"/>
          <w:color w:val="000000"/>
          <w:sz w:val="31"/>
          <w:szCs w:val="31"/>
        </w:rPr>
        <w:t>领导小组办公室根据工作需要不定期召开办公会议，可根据工作需要召开全体成员会议或与议题相关的部分成员会议，必要时可邀请其他有关单位人员参加。</w:t>
      </w:r>
    </w:p>
    <w:p>
      <w:pPr>
        <w:pStyle w:val="14"/>
        <w:keepNext w:val="0"/>
        <w:keepLines w:val="0"/>
        <w:pageBreakBefore w:val="0"/>
        <w:widowControl/>
        <w:kinsoku/>
        <w:wordWrap/>
        <w:overflowPunct/>
        <w:topLinePunct w:val="0"/>
        <w:autoSpaceDE/>
        <w:autoSpaceDN/>
        <w:bidi w:val="0"/>
        <w:adjustRightInd/>
        <w:snapToGrid/>
        <w:spacing w:line="578" w:lineRule="exact"/>
        <w:ind w:firstLine="640"/>
        <w:jc w:val="both"/>
        <w:textAlignment w:val="auto"/>
      </w:pPr>
      <w:r>
        <w:rPr>
          <w:rFonts w:hint="eastAsia" w:ascii="楷体_GB2312" w:hAnsi="楷体_GB2312" w:eastAsia="楷体_GB2312" w:cs="楷体_GB2312"/>
          <w:b/>
          <w:bCs/>
          <w:color w:val="000000"/>
          <w:sz w:val="31"/>
          <w:szCs w:val="31"/>
        </w:rPr>
        <w:t>（三）</w:t>
      </w:r>
      <w:r>
        <w:rPr>
          <w:rFonts w:ascii="仿宋_GB2312" w:eastAsia="仿宋_GB2312" w:cs="仿宋_GB2312"/>
          <w:color w:val="000000"/>
          <w:sz w:val="31"/>
          <w:szCs w:val="31"/>
        </w:rPr>
        <w:t>领导小组组成人员如需调整，涉及区级领导同志的，由领导小组办公室行文报区人民政府同意后，以领导小组名义发文；涉及其他成员的，由领导小组办公室行文报领导小组批准后发文。</w:t>
      </w:r>
    </w:p>
    <w:p>
      <w:pPr>
        <w:pStyle w:val="14"/>
        <w:keepNext w:val="0"/>
        <w:keepLines w:val="0"/>
        <w:pageBreakBefore w:val="0"/>
        <w:widowControl/>
        <w:kinsoku/>
        <w:wordWrap/>
        <w:overflowPunct/>
        <w:topLinePunct w:val="0"/>
        <w:autoSpaceDE/>
        <w:autoSpaceDN/>
        <w:bidi w:val="0"/>
        <w:adjustRightInd/>
        <w:snapToGrid/>
        <w:spacing w:line="578" w:lineRule="exact"/>
        <w:ind w:firstLine="640"/>
        <w:jc w:val="both"/>
        <w:textAlignment w:val="auto"/>
      </w:pPr>
      <w:r>
        <w:rPr>
          <w:rFonts w:hint="eastAsia" w:ascii="楷体_GB2312" w:hAnsi="楷体_GB2312" w:eastAsia="楷体_GB2312" w:cs="楷体_GB2312"/>
          <w:b/>
          <w:bCs/>
          <w:color w:val="000000"/>
          <w:sz w:val="31"/>
          <w:szCs w:val="31"/>
        </w:rPr>
        <w:t>（四）</w:t>
      </w:r>
      <w:r>
        <w:rPr>
          <w:rFonts w:ascii="仿宋_GB2312" w:eastAsia="仿宋_GB2312" w:cs="仿宋_GB2312"/>
          <w:color w:val="000000"/>
          <w:sz w:val="31"/>
          <w:szCs w:val="31"/>
        </w:rPr>
        <w:t>领导小组及其办公室不刻制印章，因工作需要印发文件的，按程序报批后由鱼峰区财政局代章。</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75"/>
        <w:textAlignment w:val="auto"/>
        <w:rPr>
          <w:rFonts w:hint="eastAsia"/>
          <w:color w:val="000000"/>
          <w:spacing w:val="8"/>
          <w:szCs w:val="32"/>
          <w:lang w:val="en-US" w:eastAsia="zh-CN"/>
        </w:rPr>
      </w:pPr>
      <w:r>
        <w:rPr>
          <w:rFonts w:hint="eastAsia" w:ascii="楷体_GB2312" w:hAnsi="楷体_GB2312" w:eastAsia="楷体_GB2312" w:cs="楷体_GB2312"/>
          <w:b/>
          <w:bCs/>
          <w:color w:val="000000"/>
          <w:kern w:val="0"/>
          <w:sz w:val="31"/>
          <w:szCs w:val="31"/>
          <w:lang w:val="en-US" w:eastAsia="zh-CN" w:bidi="ar"/>
        </w:rPr>
        <w:t>（五）</w:t>
      </w:r>
      <w:r>
        <w:rPr>
          <w:rFonts w:ascii="仿宋_GB2312" w:eastAsia="仿宋_GB2312" w:cs="仿宋_GB2312"/>
          <w:color w:val="000000"/>
          <w:sz w:val="31"/>
          <w:szCs w:val="31"/>
        </w:rPr>
        <w:t>领导小组成员单位要加强业务指导，总结推广经验做法，形成部门协作、上下联动、运转高效的财源建设工作格局。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316" w:firstLineChars="1300"/>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316" w:firstLineChars="1300"/>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316" w:firstLineChars="1300"/>
        <w:textAlignment w:val="auto"/>
        <w:rPr>
          <w:rFonts w:hint="default" w:eastAsia="仿宋_GB2312"/>
          <w:color w:val="000000"/>
          <w:spacing w:val="8"/>
          <w:szCs w:val="32"/>
          <w:lang w:val="en-US" w:eastAsia="zh-CN"/>
        </w:rPr>
      </w:pPr>
      <w:r>
        <w:rPr>
          <w:rFonts w:hint="eastAsia"/>
          <w:color w:val="000000"/>
          <w:spacing w:val="8"/>
          <w:szCs w:val="32"/>
          <w:lang w:val="en-US" w:eastAsia="zh-CN"/>
        </w:rPr>
        <w:t>鱼峰区人民政府办公室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980" w:firstLineChars="1500"/>
        <w:textAlignment w:val="auto"/>
        <w:rPr>
          <w:rFonts w:hint="eastAsia"/>
          <w:color w:val="000000"/>
          <w:spacing w:val="8"/>
          <w:szCs w:val="32"/>
        </w:rPr>
      </w:pPr>
      <w:r>
        <w:rPr>
          <w:rFonts w:hint="eastAsia"/>
          <w:color w:val="000000"/>
          <w:spacing w:val="8"/>
          <w:szCs w:val="32"/>
          <w:lang w:val="en-US" w:eastAsia="zh-CN"/>
        </w:rPr>
        <w:t>2023年10月24日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color w:val="auto"/>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eastAsia="仿宋_GB2312"/>
          <w:color w:val="auto"/>
          <w:spacing w:val="8"/>
          <w:kern w:val="0"/>
          <w:szCs w:val="32"/>
          <w:lang w:eastAsia="zh-CN"/>
        </w:rPr>
      </w:pPr>
      <w:r>
        <w:rPr>
          <w:rFonts w:hint="eastAsia" w:ascii="黑体" w:eastAsia="黑体"/>
          <w:color w:val="auto"/>
          <w:spacing w:val="8"/>
          <w:kern w:val="0"/>
          <w:szCs w:val="32"/>
        </w:rPr>
        <w:t>公开方式</w:t>
      </w:r>
      <w:r>
        <w:rPr>
          <w:rFonts w:hint="eastAsia"/>
          <w:color w:val="auto"/>
          <w:spacing w:val="8"/>
          <w:kern w:val="0"/>
          <w:szCs w:val="32"/>
        </w:rPr>
        <w:t>：</w:t>
      </w:r>
      <w:r>
        <w:rPr>
          <w:rFonts w:hint="eastAsia"/>
          <w:color w:val="auto"/>
          <w:spacing w:val="8"/>
          <w:kern w:val="0"/>
          <w:szCs w:val="32"/>
          <w:lang w:eastAsia="zh-CN"/>
        </w:rPr>
        <w:t>主动公开</w:t>
      </w:r>
    </w:p>
    <w:p>
      <w:pPr>
        <w:keepNext w:val="0"/>
        <w:keepLines w:val="0"/>
        <w:pageBreakBefore w:val="0"/>
        <w:widowControl w:val="0"/>
        <w:kinsoku/>
        <w:wordWrap/>
        <w:overflowPunct/>
        <w:topLinePunct w:val="0"/>
        <w:autoSpaceDE/>
        <w:autoSpaceDN/>
        <w:bidi w:val="0"/>
        <w:adjustRightInd/>
        <w:snapToGrid/>
        <w:spacing w:before="60" w:beforeLines="10" w:line="578" w:lineRule="exact"/>
        <w:ind w:left="0" w:leftChars="0" w:firstLine="276" w:firstLineChars="100"/>
        <w:textAlignment w:val="auto"/>
        <w:rPr>
          <w:color w:val="auto"/>
          <w:szCs w:val="32"/>
        </w:rPr>
      </w:pPr>
      <w:r>
        <w:rPr>
          <w:rFonts w:hint="eastAsia"/>
          <w:color w:val="auto"/>
          <w:sz w:val="28"/>
          <w:szCs w:val="28"/>
        </w:rPr>
        <w:t>鱼峰区人民政府办公室</w:t>
      </w:r>
      <w:r>
        <w:rPr>
          <w:color w:val="auto"/>
          <w:sz w:val="28"/>
          <w:szCs w:val="28"/>
        </w:rPr>
        <w:t xml:space="preserve">        </w:t>
      </w:r>
      <w:r>
        <w:rPr>
          <w:rFonts w:hint="eastAsia"/>
          <w:color w:val="auto"/>
          <w:sz w:val="28"/>
          <w:szCs w:val="28"/>
          <w:lang w:val="en-US" w:eastAsia="zh-CN"/>
        </w:rPr>
        <w:t xml:space="preserve">  </w:t>
      </w:r>
      <w:r>
        <w:rPr>
          <w:color w:val="auto"/>
          <w:sz w:val="28"/>
          <w:szCs w:val="28"/>
        </w:rPr>
        <w:t xml:space="preserve">          </w:t>
      </w:r>
      <w:r>
        <w:rPr>
          <w:rFonts w:hint="eastAsia"/>
          <w:color w:val="auto"/>
          <w:sz w:val="28"/>
          <w:szCs w:val="28"/>
        </w:rPr>
        <w:t xml:space="preserve"> </w:t>
      </w:r>
      <w:r>
        <w:rPr>
          <w:color w:val="auto"/>
          <w:sz w:val="28"/>
          <w:szCs w:val="28"/>
        </w:rPr>
        <w:t>20</w:t>
      </w:r>
      <w:r>
        <w:rPr>
          <w:rFonts w:hint="eastAsia"/>
          <w:color w:val="auto"/>
          <w:sz w:val="28"/>
          <w:szCs w:val="28"/>
          <w:lang w:val="en-US" w:eastAsia="zh-CN"/>
        </w:rPr>
        <w:t>23</w:t>
      </w:r>
      <w:r>
        <w:rPr>
          <w:rFonts w:hint="eastAsia"/>
          <w:color w:val="auto"/>
          <w:sz w:val="28"/>
          <w:szCs w:val="28"/>
        </w:rPr>
        <w:t>年</w:t>
      </w:r>
      <w:r>
        <w:rPr>
          <w:rFonts w:hint="eastAsia"/>
          <w:color w:val="auto"/>
          <w:sz w:val="28"/>
          <w:szCs w:val="28"/>
          <w:lang w:val="en-US" w:eastAsia="zh-CN"/>
        </w:rPr>
        <w:t>10</w:t>
      </w:r>
      <w:r>
        <w:rPr>
          <w:rFonts w:hint="eastAsia"/>
          <w:color w:val="auto"/>
          <w:sz w:val="28"/>
          <w:szCs w:val="28"/>
        </w:rPr>
        <w:t>月</w:t>
      </w:r>
      <w:r>
        <w:rPr>
          <w:rFonts w:hint="eastAsia"/>
          <w:color w:val="auto"/>
          <w:sz w:val="28"/>
          <w:szCs w:val="28"/>
          <w:lang w:val="en-US" w:eastAsia="zh-CN"/>
        </w:rPr>
        <w:t>24</w:t>
      </w:r>
      <w:r>
        <w:rPr>
          <w:rFonts w:hint="eastAsia"/>
          <w:color w:val="auto"/>
          <w:sz w:val="28"/>
          <w:szCs w:val="28"/>
        </w:rPr>
        <w:t>日印发</w:t>
      </w:r>
      <w:r>
        <w:rPr>
          <w:color w:val="auto"/>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1"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8g5B2gAAAA4BAAAPAAAAAAAAAAEAIAAAACIAAABkcnMvZG93bnJldi54bWxQSwECFAAUAAAA&#10;CACHTuJAJSFQMewBAADnAwAADgAAAAAAAAABACAAAAApAQAAZHJzL2Uyb0RvYy54bWxQSwUGAAAA&#10;AAYABgBZAQAAhwUAAAAA&#10;">
                <v:fill on="f" focussize="0,0"/>
                <v:stroke weight="1pt" color="#000000" joinstyle="miter"/>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2"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BYWW9p7gEAAOcDAAAOAAAAAAAAAAEAIAAAACkBAABkcnMvZTJvRG9jLnhtbFBLBQYA&#10;AAAABgAGAFkBAACJBQAAAAA=&#10;">
                <v:fill on="f" focussize="0,0"/>
                <v:stroke weight="1pt" color="#000000"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eastAsia="宋体"/>
        <w:sz w:val="28"/>
        <w:szCs w:val="28"/>
      </w:rPr>
    </w:pPr>
    <w:r>
      <w:rPr>
        <w:sz w:val="28"/>
        <w:szCs w:val="28"/>
      </w:rPr>
      <w:t xml:space="preserve">— </w:t>
    </w:r>
    <w:r>
      <w:rPr>
        <w:rStyle w:val="19"/>
        <w:rFonts w:ascii="宋体" w:hAnsi="宋体" w:eastAsia="宋体" w:cs="宋体"/>
        <w:sz w:val="28"/>
        <w:szCs w:val="28"/>
      </w:rPr>
      <w:fldChar w:fldCharType="begin"/>
    </w:r>
    <w:r>
      <w:rPr>
        <w:rStyle w:val="19"/>
        <w:rFonts w:ascii="宋体" w:hAnsi="宋体" w:eastAsia="宋体" w:cs="宋体"/>
        <w:sz w:val="28"/>
        <w:szCs w:val="28"/>
      </w:rPr>
      <w:instrText xml:space="preserve"> PAGE </w:instrText>
    </w:r>
    <w:r>
      <w:rPr>
        <w:rStyle w:val="19"/>
        <w:rFonts w:ascii="宋体" w:hAnsi="宋体" w:eastAsia="宋体" w:cs="宋体"/>
        <w:sz w:val="28"/>
        <w:szCs w:val="28"/>
      </w:rPr>
      <w:fldChar w:fldCharType="separate"/>
    </w:r>
    <w:r>
      <w:rPr>
        <w:rStyle w:val="19"/>
        <w:rFonts w:ascii="宋体" w:hAnsi="宋体" w:eastAsia="宋体" w:cs="宋体"/>
        <w:sz w:val="28"/>
        <w:szCs w:val="28"/>
      </w:rPr>
      <w:t>19</w:t>
    </w:r>
    <w:r>
      <w:rPr>
        <w:rStyle w:val="19"/>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280" w:firstLineChars="100"/>
      <w:rPr>
        <w:sz w:val="28"/>
        <w:szCs w:val="28"/>
      </w:rPr>
    </w:pPr>
    <w:r>
      <w:rPr>
        <w:sz w:val="28"/>
        <w:szCs w:val="28"/>
      </w:rPr>
      <w:t>—</w:t>
    </w:r>
    <w:r>
      <w:rPr>
        <w:rStyle w:val="19"/>
        <w:rFonts w:hint="eastAsia" w:ascii="宋体" w:hAnsi="宋体" w:eastAsia="宋体" w:cs="宋体"/>
        <w:sz w:val="28"/>
        <w:szCs w:val="28"/>
      </w:rPr>
      <w:t xml:space="preserve"> </w:t>
    </w:r>
    <w:r>
      <w:rPr>
        <w:rStyle w:val="19"/>
        <w:rFonts w:ascii="宋体" w:hAnsi="宋体" w:eastAsia="宋体" w:cs="宋体"/>
        <w:sz w:val="28"/>
        <w:szCs w:val="28"/>
      </w:rPr>
      <w:fldChar w:fldCharType="begin"/>
    </w:r>
    <w:r>
      <w:rPr>
        <w:rStyle w:val="19"/>
        <w:rFonts w:ascii="宋体" w:hAnsi="宋体" w:eastAsia="宋体" w:cs="宋体"/>
        <w:sz w:val="28"/>
        <w:szCs w:val="28"/>
      </w:rPr>
      <w:instrText xml:space="preserve"> PAGE </w:instrText>
    </w:r>
    <w:r>
      <w:rPr>
        <w:rStyle w:val="19"/>
        <w:rFonts w:ascii="宋体" w:hAnsi="宋体" w:eastAsia="宋体" w:cs="宋体"/>
        <w:sz w:val="28"/>
        <w:szCs w:val="28"/>
      </w:rPr>
      <w:fldChar w:fldCharType="separate"/>
    </w:r>
    <w:r>
      <w:rPr>
        <w:rStyle w:val="19"/>
        <w:rFonts w:ascii="宋体" w:hAnsi="宋体" w:eastAsia="宋体" w:cs="宋体"/>
        <w:sz w:val="28"/>
        <w:szCs w:val="28"/>
      </w:rPr>
      <w:t>20</w:t>
    </w:r>
    <w:r>
      <w:rPr>
        <w:rStyle w:val="19"/>
        <w:rFonts w:ascii="宋体" w:hAnsi="宋体" w:eastAsia="宋体" w:cs="宋体"/>
        <w:sz w:val="28"/>
        <w:szCs w:val="28"/>
      </w:rPr>
      <w:fldChar w:fldCharType="end"/>
    </w:r>
    <w:r>
      <w:rPr>
        <w:rStyle w:val="19"/>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2602D31"/>
    <w:rsid w:val="0E57182E"/>
    <w:rsid w:val="146F1130"/>
    <w:rsid w:val="179D56C1"/>
    <w:rsid w:val="17BFE4F9"/>
    <w:rsid w:val="1AF21A10"/>
    <w:rsid w:val="1F3CA785"/>
    <w:rsid w:val="1F991545"/>
    <w:rsid w:val="1FEA9413"/>
    <w:rsid w:val="2309100C"/>
    <w:rsid w:val="2DB17CA6"/>
    <w:rsid w:val="2E902745"/>
    <w:rsid w:val="2FFF701C"/>
    <w:rsid w:val="3B8233A0"/>
    <w:rsid w:val="3F1D523A"/>
    <w:rsid w:val="3FB6F16E"/>
    <w:rsid w:val="40F23AF0"/>
    <w:rsid w:val="415B417C"/>
    <w:rsid w:val="42C4057F"/>
    <w:rsid w:val="495B377A"/>
    <w:rsid w:val="4ED67250"/>
    <w:rsid w:val="4F7C65F9"/>
    <w:rsid w:val="53FF3C7D"/>
    <w:rsid w:val="56EB4761"/>
    <w:rsid w:val="575B04CA"/>
    <w:rsid w:val="57E9CEFA"/>
    <w:rsid w:val="5D8F0793"/>
    <w:rsid w:val="5F5EEAAD"/>
    <w:rsid w:val="5F8A53D2"/>
    <w:rsid w:val="6373284D"/>
    <w:rsid w:val="6A7EB9D2"/>
    <w:rsid w:val="6D3FF89C"/>
    <w:rsid w:val="6E3C3D48"/>
    <w:rsid w:val="6EE3A62F"/>
    <w:rsid w:val="6FDE618F"/>
    <w:rsid w:val="6FF60508"/>
    <w:rsid w:val="76FCD3BB"/>
    <w:rsid w:val="7733E572"/>
    <w:rsid w:val="77BF9F30"/>
    <w:rsid w:val="77CF7C75"/>
    <w:rsid w:val="7AA3233F"/>
    <w:rsid w:val="7B794332"/>
    <w:rsid w:val="7B7AA8BB"/>
    <w:rsid w:val="7BF51CF9"/>
    <w:rsid w:val="7C317C4B"/>
    <w:rsid w:val="7C8758FA"/>
    <w:rsid w:val="7CAE1431"/>
    <w:rsid w:val="7CF05641"/>
    <w:rsid w:val="7E3B1309"/>
    <w:rsid w:val="7EF78ECE"/>
    <w:rsid w:val="7F37E52A"/>
    <w:rsid w:val="7F773F8B"/>
    <w:rsid w:val="7F9FDABA"/>
    <w:rsid w:val="7FDD29D6"/>
    <w:rsid w:val="7FEC1E0A"/>
    <w:rsid w:val="94DF548B"/>
    <w:rsid w:val="9CBF69A9"/>
    <w:rsid w:val="AAD387AB"/>
    <w:rsid w:val="AECF2986"/>
    <w:rsid w:val="AFFE7F32"/>
    <w:rsid w:val="BCFCC77B"/>
    <w:rsid w:val="CDDB673A"/>
    <w:rsid w:val="DCB392FC"/>
    <w:rsid w:val="E67E0CF6"/>
    <w:rsid w:val="E7CF9533"/>
    <w:rsid w:val="E7FC5EEA"/>
    <w:rsid w:val="EFBDAC11"/>
    <w:rsid w:val="EFE1BAF9"/>
    <w:rsid w:val="F0BFE961"/>
    <w:rsid w:val="F67B2BA6"/>
    <w:rsid w:val="F7F517D2"/>
    <w:rsid w:val="FBE27A86"/>
    <w:rsid w:val="FE7F9E40"/>
    <w:rsid w:val="FF5F099B"/>
    <w:rsid w:val="FF7F9D29"/>
    <w:rsid w:val="FFF78D9B"/>
    <w:rsid w:val="FFFF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locked/>
    <w:uiPriority w:val="0"/>
    <w:pPr>
      <w:spacing w:before="100" w:beforeAutospacing="1" w:after="100" w:afterAutospacing="1"/>
      <w:jc w:val="left"/>
      <w:outlineLvl w:val="0"/>
    </w:pPr>
    <w:rPr>
      <w:rFonts w:hint="eastAsia" w:ascii="宋体" w:hAnsi="宋体" w:cs="Times New Roman"/>
      <w:b/>
      <w:bCs/>
      <w:kern w:val="44"/>
      <w:sz w:val="48"/>
      <w:szCs w:val="48"/>
      <w:lang w:bidi="ar-SA"/>
    </w:rPr>
  </w:style>
  <w:style w:type="paragraph" w:styleId="5">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
    <w:qFormat/>
    <w:uiPriority w:val="99"/>
    <w:rPr>
      <w:sz w:val="30"/>
    </w:rPr>
  </w:style>
  <w:style w:type="paragraph" w:styleId="3">
    <w:name w:val="Title"/>
    <w:basedOn w:val="1"/>
    <w:next w:val="1"/>
    <w:qFormat/>
    <w:locked/>
    <w:uiPriority w:val="0"/>
    <w:pPr>
      <w:spacing w:before="60" w:after="120" w:line="560" w:lineRule="exact"/>
      <w:jc w:val="center"/>
      <w:outlineLvl w:val="0"/>
    </w:pPr>
    <w:rPr>
      <w:rFonts w:eastAsia="方正小标宋简体"/>
      <w:bCs/>
      <w:sz w:val="44"/>
    </w:rPr>
  </w:style>
  <w:style w:type="paragraph" w:styleId="6">
    <w:name w:val="caption"/>
    <w:basedOn w:val="1"/>
    <w:next w:val="1"/>
    <w:qFormat/>
    <w:locked/>
    <w:uiPriority w:val="0"/>
    <w:pPr>
      <w:textAlignment w:val="baseline"/>
    </w:pPr>
    <w:rPr>
      <w:rFonts w:ascii="Cambria" w:hAnsi="Cambria" w:eastAsia="黑体"/>
      <w:sz w:val="20"/>
      <w:szCs w:val="20"/>
    </w:rPr>
  </w:style>
  <w:style w:type="paragraph" w:styleId="7">
    <w:name w:val="Body Text Indent"/>
    <w:basedOn w:val="1"/>
    <w:qFormat/>
    <w:uiPriority w:val="0"/>
    <w:pPr>
      <w:spacing w:after="120"/>
      <w:ind w:left="420" w:leftChars="200"/>
    </w:pPr>
  </w:style>
  <w:style w:type="paragraph" w:styleId="8">
    <w:name w:val="Plain Text"/>
    <w:basedOn w:val="1"/>
    <w:unhideWhenUsed/>
    <w:qFormat/>
    <w:uiPriority w:val="0"/>
    <w:rPr>
      <w:rFonts w:ascii="宋体" w:hAnsi="Courier New"/>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qFormat/>
    <w:uiPriority w:val="0"/>
    <w:rPr>
      <w:rFonts w:ascii="Times New Roman" w:hAnsi="Times New Roman"/>
      <w:sz w:val="18"/>
      <w:szCs w:val="18"/>
    </w:rPr>
  </w:style>
  <w:style w:type="paragraph" w:styleId="12">
    <w:name w:val="Body Text First Indent 2"/>
    <w:basedOn w:val="7"/>
    <w:qFormat/>
    <w:uiPriority w:val="0"/>
    <w:pPr>
      <w:ind w:firstLine="420" w:firstLineChars="200"/>
    </w:pPr>
  </w:style>
  <w:style w:type="paragraph" w:styleId="13">
    <w:name w:val="Body Text 2"/>
    <w:basedOn w:val="1"/>
    <w:link w:val="24"/>
    <w:qFormat/>
    <w:uiPriority w:val="99"/>
    <w:pPr>
      <w:spacing w:after="120" w:line="480" w:lineRule="auto"/>
    </w:p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unhideWhenUsed/>
    <w:qFormat/>
    <w:uiPriority w:val="99"/>
    <w:pPr>
      <w:ind w:firstLine="420" w:firstLineChars="100"/>
    </w:pPr>
  </w:style>
  <w:style w:type="character" w:styleId="19">
    <w:name w:val="page number"/>
    <w:qFormat/>
    <w:uiPriority w:val="99"/>
    <w:rPr>
      <w:rFonts w:cs="Times New Roman"/>
    </w:rPr>
  </w:style>
  <w:style w:type="paragraph" w:customStyle="1" w:styleId="20">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21">
    <w:name w:val="正文文本 Char"/>
    <w:link w:val="2"/>
    <w:semiHidden/>
    <w:qFormat/>
    <w:uiPriority w:val="99"/>
    <w:rPr>
      <w:rFonts w:eastAsia="仿宋_GB2312"/>
      <w:sz w:val="32"/>
      <w:szCs w:val="24"/>
    </w:rPr>
  </w:style>
  <w:style w:type="character" w:customStyle="1" w:styleId="22">
    <w:name w:val="页脚 Char"/>
    <w:link w:val="9"/>
    <w:semiHidden/>
    <w:qFormat/>
    <w:uiPriority w:val="99"/>
    <w:rPr>
      <w:rFonts w:eastAsia="仿宋_GB2312"/>
      <w:sz w:val="18"/>
      <w:szCs w:val="18"/>
    </w:rPr>
  </w:style>
  <w:style w:type="character" w:customStyle="1" w:styleId="23">
    <w:name w:val="页眉 Char"/>
    <w:link w:val="10"/>
    <w:semiHidden/>
    <w:qFormat/>
    <w:uiPriority w:val="99"/>
    <w:rPr>
      <w:rFonts w:eastAsia="仿宋_GB2312"/>
      <w:sz w:val="18"/>
      <w:szCs w:val="18"/>
    </w:rPr>
  </w:style>
  <w:style w:type="character" w:customStyle="1" w:styleId="24">
    <w:name w:val="正文文本 2 Char"/>
    <w:link w:val="13"/>
    <w:semiHidden/>
    <w:qFormat/>
    <w:uiPriority w:val="99"/>
    <w:rPr>
      <w:rFonts w:eastAsia="仿宋_GB2312"/>
      <w:sz w:val="32"/>
      <w:szCs w:val="24"/>
    </w:rPr>
  </w:style>
  <w:style w:type="paragraph" w:customStyle="1" w:styleId="25">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12</TotalTime>
  <ScaleCrop>false</ScaleCrop>
  <LinksUpToDate>false</LinksUpToDate>
  <CharactersWithSpaces>5116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2019-07-23T06:41:00Z</dcterms:created>
  <dc:creator>Administrator</dc:creator>
  <cp:lastModifiedBy>ちひろ</cp:lastModifiedBy>
  <cp:lastPrinted>2023-10-24T11:38:00Z</cp:lastPrinted>
  <dcterms:modified xsi:type="dcterms:W3CDTF">2023-11-17T08:54:21Z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852B117E536A4AB9AFC6ABF249ACF573_12</vt:lpwstr>
  </property>
</Properties>
</file>